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jc w:val="center"/>
        <w:tblCellMar>
          <w:left w:w="142" w:type="dxa"/>
          <w:right w:w="142" w:type="dxa"/>
        </w:tblCellMar>
        <w:tblLook w:val="04A0" w:firstRow="1" w:lastRow="0" w:firstColumn="1" w:lastColumn="0" w:noHBand="0" w:noVBand="1"/>
      </w:tblPr>
      <w:tblGrid>
        <w:gridCol w:w="9348"/>
      </w:tblGrid>
      <w:tr w:rsidR="00FE3484" w:rsidTr="00A30F5D">
        <w:trPr>
          <w:jc w:val="center"/>
        </w:trPr>
        <w:tc>
          <w:tcPr>
            <w:tcW w:w="9348" w:type="dxa"/>
          </w:tcPr>
          <w:p w:rsidR="00FE3484" w:rsidRPr="00E31552" w:rsidRDefault="00FE3484" w:rsidP="00A30F5D">
            <w:pPr>
              <w:pStyle w:val="Heading2"/>
              <w:spacing w:before="60" w:after="60"/>
              <w:jc w:val="center"/>
              <w:outlineLvl w:val="1"/>
              <w:rPr>
                <w:sz w:val="22"/>
              </w:rPr>
            </w:pPr>
            <w:r w:rsidRPr="00E31552">
              <w:rPr>
                <w:sz w:val="22"/>
                <w:highlight w:val="white"/>
              </w:rPr>
              <w:t xml:space="preserve">Case 1: </w:t>
            </w:r>
            <w:r w:rsidR="004C7F6A">
              <w:rPr>
                <w:sz w:val="22"/>
              </w:rPr>
              <w:t>[Community#1]</w:t>
            </w:r>
            <w:r w:rsidRPr="00FE3484">
              <w:rPr>
                <w:sz w:val="22"/>
              </w:rPr>
              <w:t xml:space="preserve"> </w:t>
            </w:r>
            <w:r w:rsidRPr="00E31552">
              <w:rPr>
                <w:sz w:val="22"/>
                <w:highlight w:val="white"/>
              </w:rPr>
              <w:t>and the search for better management</w:t>
            </w:r>
          </w:p>
          <w:p w:rsidR="00FE3484" w:rsidRPr="001F741F" w:rsidRDefault="00FE3484" w:rsidP="00A30F5D">
            <w:pPr>
              <w:pStyle w:val="Normal1"/>
              <w:spacing w:after="0"/>
              <w:rPr>
                <w:lang w:val="en-GB"/>
              </w:rPr>
            </w:pPr>
            <w:r w:rsidRPr="001F741F">
              <w:rPr>
                <w:b/>
                <w:sz w:val="20"/>
                <w:highlight w:val="white"/>
                <w:lang w:val="en-GB"/>
              </w:rPr>
              <w:t xml:space="preserve">Location: </w:t>
            </w:r>
            <w:r w:rsidRPr="001F741F">
              <w:rPr>
                <w:sz w:val="20"/>
                <w:highlight w:val="white"/>
                <w:lang w:val="en-GB"/>
              </w:rPr>
              <w:t>Syria (researcher based in Switzerland)</w:t>
            </w:r>
          </w:p>
          <w:p w:rsidR="00FE3484" w:rsidRPr="001F741F" w:rsidRDefault="00FE3484" w:rsidP="00A30F5D">
            <w:pPr>
              <w:pStyle w:val="Normal1"/>
              <w:widowControl w:val="0"/>
              <w:spacing w:after="0"/>
              <w:rPr>
                <w:lang w:val="en-GB"/>
              </w:rPr>
            </w:pPr>
            <w:r w:rsidRPr="001F741F">
              <w:rPr>
                <w:b/>
                <w:sz w:val="20"/>
                <w:highlight w:val="white"/>
                <w:lang w:val="en-GB"/>
              </w:rPr>
              <w:t>Research goals:</w:t>
            </w:r>
            <w:r>
              <w:rPr>
                <w:b/>
                <w:sz w:val="20"/>
                <w:highlight w:val="white"/>
                <w:lang w:val="en-GB"/>
              </w:rPr>
              <w:t xml:space="preserve"> </w:t>
            </w:r>
            <w:r w:rsidRPr="001F741F">
              <w:rPr>
                <w:sz w:val="20"/>
                <w:highlight w:val="white"/>
                <w:lang w:val="en-GB"/>
              </w:rPr>
              <w:t>(i) to contribute to local community development in Syria; and (ii) to design social internet tools to support local communities.</w:t>
            </w:r>
          </w:p>
          <w:p w:rsidR="00FE3484" w:rsidRDefault="00FE3484" w:rsidP="00A30F5D">
            <w:pPr>
              <w:pStyle w:val="Normal1"/>
              <w:widowControl w:val="0"/>
              <w:spacing w:after="0"/>
              <w:rPr>
                <w:sz w:val="20"/>
                <w:highlight w:val="white"/>
                <w:lang w:val="en-GB"/>
              </w:rPr>
            </w:pPr>
            <w:r w:rsidRPr="001F741F">
              <w:rPr>
                <w:b/>
                <w:sz w:val="20"/>
                <w:highlight w:val="white"/>
                <w:lang w:val="en-GB"/>
              </w:rPr>
              <w:t>Stakeholder involvement:</w:t>
            </w:r>
            <w:r w:rsidRPr="001F741F">
              <w:rPr>
                <w:sz w:val="20"/>
                <w:highlight w:val="white"/>
                <w:lang w:val="en-GB"/>
              </w:rPr>
              <w:t xml:space="preserve"> little distinction </w:t>
            </w:r>
            <w:r>
              <w:rPr>
                <w:sz w:val="20"/>
                <w:highlight w:val="white"/>
                <w:lang w:val="en-GB"/>
              </w:rPr>
              <w:t xml:space="preserve">in roles between </w:t>
            </w:r>
            <w:r w:rsidRPr="001F741F">
              <w:rPr>
                <w:sz w:val="20"/>
                <w:highlight w:val="white"/>
                <w:lang w:val="en-GB"/>
              </w:rPr>
              <w:t xml:space="preserve">researcher and </w:t>
            </w:r>
            <w:r>
              <w:rPr>
                <w:sz w:val="20"/>
                <w:highlight w:val="white"/>
                <w:lang w:val="en-GB"/>
              </w:rPr>
              <w:t xml:space="preserve">community </w:t>
            </w:r>
            <w:r w:rsidRPr="001F741F">
              <w:rPr>
                <w:sz w:val="20"/>
                <w:highlight w:val="white"/>
                <w:lang w:val="en-GB"/>
              </w:rPr>
              <w:t>members. The researcher</w:t>
            </w:r>
            <w:r>
              <w:rPr>
                <w:sz w:val="20"/>
                <w:highlight w:val="white"/>
                <w:lang w:val="en-GB"/>
              </w:rPr>
              <w:t xml:space="preserve"> </w:t>
            </w:r>
            <w:r w:rsidRPr="001F741F">
              <w:rPr>
                <w:sz w:val="20"/>
                <w:highlight w:val="white"/>
                <w:lang w:val="en-GB"/>
              </w:rPr>
              <w:t xml:space="preserve">was one of the group moderators. He participated in discussions on improving group management and assisted in implementing the decided actions. </w:t>
            </w:r>
          </w:p>
          <w:p w:rsidR="00FE3484" w:rsidRPr="001F741F" w:rsidRDefault="00FE3484" w:rsidP="00A30F5D">
            <w:pPr>
              <w:pStyle w:val="Normal1"/>
              <w:widowControl w:val="0"/>
              <w:spacing w:after="0"/>
              <w:rPr>
                <w:lang w:val="en-GB"/>
              </w:rPr>
            </w:pPr>
            <w:r w:rsidRPr="001F741F">
              <w:rPr>
                <w:sz w:val="20"/>
                <w:highlight w:val="white"/>
                <w:lang w:val="en-GB"/>
              </w:rPr>
              <w:t>Group moderators were the most active in group activities, and had higher influence on its life course.</w:t>
            </w:r>
          </w:p>
          <w:p w:rsidR="00FE3484" w:rsidRPr="001F741F" w:rsidRDefault="00FE3484" w:rsidP="00A30F5D">
            <w:pPr>
              <w:pStyle w:val="Normal1"/>
              <w:widowControl w:val="0"/>
              <w:spacing w:after="0"/>
              <w:rPr>
                <w:lang w:val="en-GB"/>
              </w:rPr>
            </w:pPr>
            <w:r w:rsidRPr="001F741F">
              <w:rPr>
                <w:b/>
                <w:sz w:val="20"/>
                <w:highlight w:val="white"/>
                <w:lang w:val="en-GB"/>
              </w:rPr>
              <w:t>Knowledge produced:</w:t>
            </w:r>
            <w:r w:rsidRPr="001F741F">
              <w:rPr>
                <w:sz w:val="20"/>
                <w:highlight w:val="white"/>
                <w:lang w:val="en-GB"/>
              </w:rPr>
              <w:t xml:space="preserve"> local community groups, especially when they grow beyond a certain size, tend to establish distinct groupings to organize and manage their activities. This was tacit in the way community members managed their groups.</w:t>
            </w:r>
          </w:p>
          <w:p w:rsidR="00FE3484" w:rsidRPr="001F741F" w:rsidRDefault="00FE3484" w:rsidP="00A30F5D">
            <w:pPr>
              <w:pStyle w:val="Normal1"/>
              <w:widowControl w:val="0"/>
              <w:spacing w:after="0"/>
              <w:rPr>
                <w:lang w:val="en-GB"/>
              </w:rPr>
            </w:pPr>
            <w:r w:rsidRPr="001F741F">
              <w:rPr>
                <w:b/>
                <w:sz w:val="20"/>
                <w:highlight w:val="white"/>
                <w:lang w:val="en-GB"/>
              </w:rPr>
              <w:t>Theoretical and methodological framing:</w:t>
            </w:r>
            <w:r>
              <w:rPr>
                <w:b/>
                <w:sz w:val="20"/>
                <w:highlight w:val="white"/>
                <w:lang w:val="en-GB"/>
              </w:rPr>
              <w:t xml:space="preserve"> </w:t>
            </w:r>
            <w:r w:rsidRPr="001F741F">
              <w:rPr>
                <w:sz w:val="20"/>
                <w:highlight w:val="white"/>
                <w:lang w:val="en-GB"/>
              </w:rPr>
              <w:t>ethnography, participant comprehension, participatory design.</w:t>
            </w:r>
          </w:p>
          <w:p w:rsidR="00FE3484" w:rsidRPr="005F2416" w:rsidRDefault="00FE3484" w:rsidP="00A30F5D">
            <w:pPr>
              <w:pStyle w:val="Normal1"/>
              <w:spacing w:after="60"/>
            </w:pPr>
            <w:r w:rsidRPr="005045A7">
              <w:rPr>
                <w:b/>
                <w:sz w:val="20"/>
                <w:lang w:val="en-GB"/>
              </w:rPr>
              <w:t xml:space="preserve">Design goals: </w:t>
            </w:r>
            <w:r w:rsidRPr="005045A7">
              <w:rPr>
                <w:sz w:val="20"/>
                <w:lang w:val="en-GB"/>
              </w:rPr>
              <w:t xml:space="preserve">a Facebook </w:t>
            </w:r>
            <w:r w:rsidRPr="001F741F">
              <w:rPr>
                <w:sz w:val="20"/>
                <w:highlight w:val="white"/>
                <w:lang w:val="en-GB"/>
              </w:rPr>
              <w:t>group dedicated to discussing</w:t>
            </w:r>
            <w:r>
              <w:rPr>
                <w:sz w:val="20"/>
                <w:highlight w:val="white"/>
                <w:lang w:val="en-GB"/>
              </w:rPr>
              <w:t xml:space="preserve"> management-related</w:t>
            </w:r>
            <w:r w:rsidRPr="001F741F">
              <w:rPr>
                <w:sz w:val="20"/>
                <w:highlight w:val="white"/>
                <w:lang w:val="en-GB"/>
              </w:rPr>
              <w:t xml:space="preserve"> issues.</w:t>
            </w:r>
          </w:p>
        </w:tc>
      </w:tr>
      <w:tr w:rsidR="00FE3484" w:rsidTr="00A30F5D">
        <w:trPr>
          <w:jc w:val="center"/>
        </w:trPr>
        <w:tc>
          <w:tcPr>
            <w:tcW w:w="9348" w:type="dxa"/>
          </w:tcPr>
          <w:p w:rsidR="00FE3484" w:rsidRPr="00E31552" w:rsidRDefault="00FE3484" w:rsidP="00A30F5D">
            <w:pPr>
              <w:pStyle w:val="Heading2"/>
              <w:spacing w:before="60" w:after="60"/>
              <w:jc w:val="center"/>
              <w:outlineLvl w:val="1"/>
              <w:rPr>
                <w:sz w:val="22"/>
                <w:highlight w:val="white"/>
              </w:rPr>
            </w:pPr>
            <w:r w:rsidRPr="00E31552">
              <w:rPr>
                <w:sz w:val="22"/>
                <w:highlight w:val="white"/>
              </w:rPr>
              <w:t>Case 2: The case of Keyboards in</w:t>
            </w:r>
            <w:bookmarkStart w:id="0" w:name="_GoBack"/>
            <w:bookmarkEnd w:id="0"/>
            <w:r w:rsidRPr="00E31552">
              <w:rPr>
                <w:sz w:val="22"/>
                <w:highlight w:val="white"/>
              </w:rPr>
              <w:t xml:space="preserve"> the Favelas of Brazil</w:t>
            </w:r>
          </w:p>
          <w:p w:rsidR="00FE3484" w:rsidRPr="001F741F" w:rsidRDefault="00FE3484" w:rsidP="00A30F5D">
            <w:pPr>
              <w:pStyle w:val="Normal1"/>
              <w:spacing w:after="0"/>
              <w:rPr>
                <w:lang w:val="en-GB"/>
              </w:rPr>
            </w:pPr>
            <w:r w:rsidRPr="001F741F">
              <w:rPr>
                <w:b/>
                <w:sz w:val="20"/>
                <w:highlight w:val="white"/>
                <w:lang w:val="en-GB"/>
              </w:rPr>
              <w:t>Location:</w:t>
            </w:r>
            <w:r w:rsidRPr="001F741F">
              <w:rPr>
                <w:sz w:val="20"/>
                <w:highlight w:val="white"/>
                <w:lang w:val="en-GB"/>
              </w:rPr>
              <w:t xml:space="preserve"> Brazil</w:t>
            </w:r>
          </w:p>
          <w:p w:rsidR="00FE3484" w:rsidRPr="001F741F" w:rsidRDefault="00FE3484" w:rsidP="00A30F5D">
            <w:pPr>
              <w:pStyle w:val="Normal1"/>
              <w:widowControl w:val="0"/>
              <w:spacing w:after="0"/>
              <w:rPr>
                <w:lang w:val="en-GB"/>
              </w:rPr>
            </w:pPr>
            <w:r w:rsidRPr="001F741F">
              <w:rPr>
                <w:b/>
                <w:sz w:val="20"/>
                <w:highlight w:val="white"/>
                <w:lang w:val="en-GB"/>
              </w:rPr>
              <w:t>Research goals:</w:t>
            </w:r>
            <w:r w:rsidRPr="001F741F">
              <w:rPr>
                <w:sz w:val="20"/>
                <w:highlight w:val="white"/>
                <w:lang w:val="en-GB"/>
              </w:rPr>
              <w:t xml:space="preserve"> (i) to understand the experience of marginalized people in CTCs; (ii) to inform </w:t>
            </w:r>
            <w:r>
              <w:rPr>
                <w:sz w:val="20"/>
                <w:highlight w:val="white"/>
                <w:lang w:val="en-GB"/>
              </w:rPr>
              <w:t xml:space="preserve">common ways of thinking </w:t>
            </w:r>
            <w:r w:rsidRPr="001F741F">
              <w:rPr>
                <w:sz w:val="20"/>
                <w:highlight w:val="white"/>
                <w:lang w:val="en-GB"/>
              </w:rPr>
              <w:t>about “empowerment” and “disempowerment” vis-à-vis technology;</w:t>
            </w:r>
            <w:r>
              <w:rPr>
                <w:sz w:val="20"/>
                <w:highlight w:val="white"/>
                <w:lang w:val="en-GB"/>
              </w:rPr>
              <w:t xml:space="preserve"> and</w:t>
            </w:r>
            <w:r w:rsidRPr="001F741F">
              <w:rPr>
                <w:sz w:val="20"/>
                <w:highlight w:val="white"/>
                <w:lang w:val="en-GB"/>
              </w:rPr>
              <w:t xml:space="preserve"> (iii) to produce</w:t>
            </w:r>
            <w:r>
              <w:rPr>
                <w:sz w:val="20"/>
                <w:highlight w:val="white"/>
                <w:lang w:val="en-GB"/>
              </w:rPr>
              <w:t xml:space="preserve"> knowledge usable for policy</w:t>
            </w:r>
            <w:r w:rsidRPr="001F741F">
              <w:rPr>
                <w:sz w:val="20"/>
                <w:highlight w:val="white"/>
                <w:lang w:val="en-GB"/>
              </w:rPr>
              <w:t xml:space="preserve">, which </w:t>
            </w:r>
            <w:r>
              <w:rPr>
                <w:sz w:val="20"/>
                <w:highlight w:val="white"/>
                <w:lang w:val="en-GB"/>
              </w:rPr>
              <w:t xml:space="preserve">can also </w:t>
            </w:r>
            <w:r w:rsidRPr="001F741F">
              <w:rPr>
                <w:sz w:val="20"/>
                <w:highlight w:val="white"/>
                <w:lang w:val="en-GB"/>
              </w:rPr>
              <w:t>enable the design of CTCs and technologies suitable for the marginalized.</w:t>
            </w:r>
          </w:p>
          <w:p w:rsidR="00FE3484" w:rsidRPr="001F741F" w:rsidRDefault="00FE3484" w:rsidP="00A30F5D">
            <w:pPr>
              <w:pStyle w:val="Normal1"/>
              <w:widowControl w:val="0"/>
              <w:spacing w:after="0"/>
              <w:rPr>
                <w:lang w:val="en-GB"/>
              </w:rPr>
            </w:pPr>
            <w:r w:rsidRPr="001F741F">
              <w:rPr>
                <w:b/>
                <w:sz w:val="20"/>
                <w:highlight w:val="white"/>
                <w:lang w:val="en-GB"/>
              </w:rPr>
              <w:t>Stakeholder involvement:</w:t>
            </w:r>
            <w:r w:rsidRPr="001F741F">
              <w:rPr>
                <w:sz w:val="20"/>
                <w:highlight w:val="white"/>
                <w:lang w:val="en-GB"/>
              </w:rPr>
              <w:t xml:space="preserve"> the researcher</w:t>
            </w:r>
            <w:r>
              <w:rPr>
                <w:sz w:val="20"/>
                <w:highlight w:val="white"/>
                <w:lang w:val="en-GB"/>
              </w:rPr>
              <w:t xml:space="preserve"> </w:t>
            </w:r>
            <w:r w:rsidRPr="001F741F">
              <w:rPr>
                <w:sz w:val="20"/>
                <w:highlight w:val="white"/>
                <w:lang w:val="en-GB"/>
              </w:rPr>
              <w:t xml:space="preserve">identified the issue and decided to go deeper by getting the users’ perspectives. </w:t>
            </w:r>
            <w:r>
              <w:rPr>
                <w:sz w:val="20"/>
                <w:highlight w:val="white"/>
                <w:lang w:val="en-GB"/>
              </w:rPr>
              <w:t>T</w:t>
            </w:r>
            <w:r w:rsidRPr="001F741F">
              <w:rPr>
                <w:sz w:val="20"/>
                <w:highlight w:val="white"/>
                <w:lang w:val="en-GB"/>
              </w:rPr>
              <w:t>he researcher directed the interviews and focus group</w:t>
            </w:r>
            <w:r>
              <w:rPr>
                <w:sz w:val="20"/>
                <w:highlight w:val="white"/>
                <w:lang w:val="en-GB"/>
              </w:rPr>
              <w:t>;</w:t>
            </w:r>
            <w:r w:rsidRPr="001F741F">
              <w:rPr>
                <w:sz w:val="20"/>
                <w:highlight w:val="white"/>
                <w:lang w:val="en-GB"/>
              </w:rPr>
              <w:t xml:space="preserve"> </w:t>
            </w:r>
            <w:r>
              <w:rPr>
                <w:sz w:val="20"/>
                <w:highlight w:val="white"/>
                <w:lang w:val="en-GB"/>
              </w:rPr>
              <w:t xml:space="preserve">the </w:t>
            </w:r>
            <w:r w:rsidRPr="001F741F">
              <w:rPr>
                <w:sz w:val="20"/>
                <w:highlight w:val="white"/>
                <w:lang w:val="en-GB"/>
              </w:rPr>
              <w:t xml:space="preserve">issue and solution </w:t>
            </w:r>
            <w:r>
              <w:rPr>
                <w:sz w:val="20"/>
                <w:highlight w:val="white"/>
                <w:lang w:val="en-GB"/>
              </w:rPr>
              <w:t xml:space="preserve">were allowed </w:t>
            </w:r>
            <w:r w:rsidRPr="001F741F">
              <w:rPr>
                <w:sz w:val="20"/>
                <w:highlight w:val="white"/>
                <w:lang w:val="en-GB"/>
              </w:rPr>
              <w:t>to emerge from the users’ experience.</w:t>
            </w:r>
          </w:p>
          <w:p w:rsidR="00FE3484" w:rsidRPr="001F741F" w:rsidRDefault="00FE3484" w:rsidP="00A30F5D">
            <w:pPr>
              <w:pStyle w:val="Normal1"/>
              <w:widowControl w:val="0"/>
              <w:spacing w:after="0"/>
              <w:rPr>
                <w:lang w:val="en-GB"/>
              </w:rPr>
            </w:pPr>
            <w:r w:rsidRPr="001F741F">
              <w:rPr>
                <w:b/>
                <w:sz w:val="20"/>
                <w:highlight w:val="white"/>
                <w:lang w:val="en-GB"/>
              </w:rPr>
              <w:t>Knowledge produced:</w:t>
            </w:r>
            <w:r w:rsidRPr="001F741F">
              <w:rPr>
                <w:sz w:val="20"/>
                <w:highlight w:val="white"/>
                <w:lang w:val="en-GB"/>
              </w:rPr>
              <w:t xml:space="preserve"> The QWERTY keyboard </w:t>
            </w:r>
            <w:r>
              <w:rPr>
                <w:sz w:val="20"/>
                <w:highlight w:val="white"/>
                <w:lang w:val="en-GB"/>
              </w:rPr>
              <w:t xml:space="preserve">layout </w:t>
            </w:r>
            <w:r w:rsidRPr="001F741F">
              <w:rPr>
                <w:sz w:val="20"/>
                <w:highlight w:val="white"/>
                <w:lang w:val="en-GB"/>
              </w:rPr>
              <w:t>in the context of the favelas of Brazi</w:t>
            </w:r>
            <w:r>
              <w:rPr>
                <w:sz w:val="20"/>
                <w:highlight w:val="white"/>
                <w:lang w:val="en-GB"/>
              </w:rPr>
              <w:t>l</w:t>
            </w:r>
            <w:r w:rsidRPr="001F741F">
              <w:rPr>
                <w:sz w:val="20"/>
                <w:highlight w:val="white"/>
                <w:lang w:val="en-GB"/>
              </w:rPr>
              <w:t xml:space="preserve"> presents a barrier. The wearing away of the ink on the keys indicates that the durability of the keyboard’s material is also a concern.</w:t>
            </w:r>
          </w:p>
          <w:p w:rsidR="00FE3484" w:rsidRPr="001F741F" w:rsidRDefault="00FE3484" w:rsidP="00A30F5D">
            <w:pPr>
              <w:pStyle w:val="Normal1"/>
              <w:widowControl w:val="0"/>
              <w:spacing w:after="0"/>
              <w:rPr>
                <w:lang w:val="en-GB"/>
              </w:rPr>
            </w:pPr>
            <w:r w:rsidRPr="001F741F">
              <w:rPr>
                <w:b/>
                <w:sz w:val="20"/>
                <w:highlight w:val="white"/>
                <w:lang w:val="en-GB"/>
              </w:rPr>
              <w:t>Theoretical and methodological framing:</w:t>
            </w:r>
            <w:r w:rsidRPr="001F741F">
              <w:rPr>
                <w:sz w:val="20"/>
                <w:highlight w:val="white"/>
                <w:lang w:val="en-GB"/>
              </w:rPr>
              <w:t xml:space="preserve"> critical ethnography and assessing qualitative aspects of technology use, such as the non-instrumental ones.</w:t>
            </w:r>
          </w:p>
          <w:p w:rsidR="00FE3484" w:rsidRDefault="00FE3484" w:rsidP="00A30F5D">
            <w:pPr>
              <w:pStyle w:val="Normal1"/>
              <w:spacing w:after="60"/>
              <w:rPr>
                <w:lang w:val="en-GB"/>
              </w:rPr>
            </w:pPr>
            <w:r w:rsidRPr="005045A7">
              <w:rPr>
                <w:b/>
                <w:sz w:val="20"/>
                <w:lang w:val="en-GB"/>
              </w:rPr>
              <w:t>Design goals:</w:t>
            </w:r>
            <w:r w:rsidRPr="005045A7">
              <w:rPr>
                <w:sz w:val="20"/>
                <w:lang w:val="en-GB"/>
              </w:rPr>
              <w:t xml:space="preserve"> favela </w:t>
            </w:r>
            <w:r w:rsidRPr="001F741F">
              <w:rPr>
                <w:sz w:val="20"/>
                <w:highlight w:val="white"/>
                <w:lang w:val="en-GB"/>
              </w:rPr>
              <w:t>dwellers urged for a keyboard that would be a better fit for their reality in the CTCs; one of the proposed designs was an alphabetical ordered keyboard.</w:t>
            </w:r>
          </w:p>
        </w:tc>
      </w:tr>
      <w:tr w:rsidR="00FE3484" w:rsidTr="00A30F5D">
        <w:trPr>
          <w:jc w:val="center"/>
        </w:trPr>
        <w:tc>
          <w:tcPr>
            <w:tcW w:w="9348" w:type="dxa"/>
          </w:tcPr>
          <w:p w:rsidR="00FE3484" w:rsidRPr="00E31552" w:rsidRDefault="00FE3484" w:rsidP="00A30F5D">
            <w:pPr>
              <w:pStyle w:val="Heading2"/>
              <w:spacing w:before="60" w:after="60"/>
              <w:jc w:val="center"/>
              <w:outlineLvl w:val="1"/>
              <w:rPr>
                <w:sz w:val="22"/>
                <w:highlight w:val="white"/>
              </w:rPr>
            </w:pPr>
            <w:r w:rsidRPr="00E31552">
              <w:rPr>
                <w:sz w:val="22"/>
                <w:highlight w:val="white"/>
              </w:rPr>
              <w:t>Case 3: The Community Multimedia Centres of Ilha de Moçambique</w:t>
            </w:r>
          </w:p>
          <w:p w:rsidR="00FE3484" w:rsidRPr="001F741F" w:rsidRDefault="00FE3484" w:rsidP="00A30F5D">
            <w:pPr>
              <w:pStyle w:val="Normal1"/>
              <w:widowControl w:val="0"/>
              <w:spacing w:after="0"/>
              <w:rPr>
                <w:lang w:val="en-GB"/>
              </w:rPr>
            </w:pPr>
            <w:r w:rsidRPr="001F741F">
              <w:rPr>
                <w:b/>
                <w:sz w:val="20"/>
                <w:highlight w:val="white"/>
                <w:lang w:val="en-GB"/>
              </w:rPr>
              <w:t>Location:</w:t>
            </w:r>
            <w:r w:rsidRPr="001F741F">
              <w:rPr>
                <w:sz w:val="20"/>
                <w:highlight w:val="white"/>
                <w:lang w:val="en-GB"/>
              </w:rPr>
              <w:t xml:space="preserve"> Mozambique</w:t>
            </w:r>
          </w:p>
          <w:p w:rsidR="00FE3484" w:rsidRPr="001F741F" w:rsidRDefault="00FE3484" w:rsidP="00A30F5D">
            <w:pPr>
              <w:pStyle w:val="Normal1"/>
              <w:widowControl w:val="0"/>
              <w:rPr>
                <w:lang w:val="en-GB"/>
              </w:rPr>
            </w:pPr>
            <w:r w:rsidRPr="001F741F">
              <w:rPr>
                <w:b/>
                <w:sz w:val="20"/>
                <w:highlight w:val="white"/>
                <w:lang w:val="en-GB"/>
              </w:rPr>
              <w:t>Research goals:</w:t>
            </w:r>
            <w:r>
              <w:rPr>
                <w:b/>
                <w:sz w:val="20"/>
                <w:highlight w:val="white"/>
                <w:lang w:val="en-GB"/>
              </w:rPr>
              <w:t xml:space="preserve"> </w:t>
            </w:r>
            <w:r w:rsidRPr="001F741F">
              <w:rPr>
                <w:sz w:val="20"/>
                <w:highlight w:val="white"/>
                <w:lang w:val="en-GB"/>
              </w:rPr>
              <w:t>(i)</w:t>
            </w:r>
            <w:r w:rsidRPr="001F741F">
              <w:rPr>
                <w:i/>
                <w:sz w:val="20"/>
                <w:highlight w:val="white"/>
                <w:lang w:val="en-GB"/>
              </w:rPr>
              <w:t>to investigate the social meanings</w:t>
            </w:r>
            <w:r w:rsidRPr="001F741F">
              <w:rPr>
                <w:sz w:val="20"/>
                <w:highlight w:val="white"/>
                <w:lang w:val="en-GB"/>
              </w:rPr>
              <w:t xml:space="preserve"> attributed to technology solutions;</w:t>
            </w:r>
            <w:r>
              <w:rPr>
                <w:sz w:val="20"/>
                <w:highlight w:val="white"/>
                <w:lang w:val="en-GB"/>
              </w:rPr>
              <w:t xml:space="preserve"> </w:t>
            </w:r>
            <w:r w:rsidRPr="001F741F">
              <w:rPr>
                <w:sz w:val="20"/>
                <w:highlight w:val="white"/>
                <w:lang w:val="en-GB"/>
              </w:rPr>
              <w:t>and  (ii)</w:t>
            </w:r>
            <w:r>
              <w:rPr>
                <w:sz w:val="20"/>
                <w:highlight w:val="white"/>
                <w:lang w:val="en-GB"/>
              </w:rPr>
              <w:t xml:space="preserve"> </w:t>
            </w:r>
            <w:r w:rsidRPr="001F741F">
              <w:rPr>
                <w:i/>
                <w:sz w:val="20"/>
                <w:highlight w:val="white"/>
                <w:lang w:val="en-GB"/>
              </w:rPr>
              <w:t xml:space="preserve">to design and implement actions to improve </w:t>
            </w:r>
            <w:r w:rsidRPr="001F741F">
              <w:rPr>
                <w:sz w:val="20"/>
                <w:highlight w:val="white"/>
                <w:lang w:val="en-GB"/>
              </w:rPr>
              <w:t>the performances of the venues involved in the project.“Top-down” goals remained unchanged throughout the project; local stakeholders were involved in the formulation of specific design goals and the development of activities to achieve them.</w:t>
            </w:r>
          </w:p>
          <w:p w:rsidR="00FE3484" w:rsidRPr="001F741F" w:rsidRDefault="00FE3484" w:rsidP="00A30F5D">
            <w:pPr>
              <w:pStyle w:val="Normal1"/>
              <w:widowControl w:val="0"/>
              <w:rPr>
                <w:lang w:val="en-GB"/>
              </w:rPr>
            </w:pPr>
            <w:r w:rsidRPr="001F741F">
              <w:rPr>
                <w:b/>
                <w:sz w:val="20"/>
                <w:highlight w:val="white"/>
                <w:lang w:val="en-GB"/>
              </w:rPr>
              <w:t>Stakeholder involvement:</w:t>
            </w:r>
            <w:r>
              <w:rPr>
                <w:b/>
                <w:sz w:val="20"/>
                <w:highlight w:val="white"/>
                <w:lang w:val="en-GB"/>
              </w:rPr>
              <w:t xml:space="preserve"> </w:t>
            </w:r>
            <w:r w:rsidRPr="001F741F">
              <w:rPr>
                <w:sz w:val="20"/>
                <w:highlight w:val="white"/>
                <w:lang w:val="en-GB"/>
              </w:rPr>
              <w:t>(i)</w:t>
            </w:r>
            <w:r>
              <w:rPr>
                <w:sz w:val="20"/>
                <w:highlight w:val="white"/>
                <w:lang w:val="en-GB"/>
              </w:rPr>
              <w:t xml:space="preserve"> </w:t>
            </w:r>
            <w:r w:rsidRPr="001F741F">
              <w:rPr>
                <w:i/>
                <w:sz w:val="20"/>
                <w:highlight w:val="white"/>
                <w:lang w:val="en-GB"/>
              </w:rPr>
              <w:t>Analysis of interviews:</w:t>
            </w:r>
            <w:r w:rsidRPr="001F741F">
              <w:rPr>
                <w:sz w:val="20"/>
                <w:highlight w:val="white"/>
                <w:lang w:val="en-GB"/>
              </w:rPr>
              <w:t xml:space="preserve"> mainly project researchers. Local directors helped in interpreting part of the data; (ii)</w:t>
            </w:r>
            <w:r>
              <w:rPr>
                <w:sz w:val="20"/>
                <w:highlight w:val="white"/>
                <w:lang w:val="en-GB"/>
              </w:rPr>
              <w:t xml:space="preserve"> </w:t>
            </w:r>
            <w:r w:rsidRPr="001F741F">
              <w:rPr>
                <w:i/>
                <w:sz w:val="20"/>
                <w:highlight w:val="white"/>
                <w:lang w:val="en-GB"/>
              </w:rPr>
              <w:t>Organization of workshops and focus groups:</w:t>
            </w:r>
            <w:r w:rsidRPr="001F741F">
              <w:rPr>
                <w:sz w:val="20"/>
                <w:highlight w:val="white"/>
                <w:lang w:val="en-GB"/>
              </w:rPr>
              <w:t xml:space="preserve"> project researchers;</w:t>
            </w:r>
            <w:r>
              <w:rPr>
                <w:sz w:val="20"/>
                <w:highlight w:val="white"/>
                <w:lang w:val="en-GB"/>
              </w:rPr>
              <w:t xml:space="preserve"> </w:t>
            </w:r>
            <w:r w:rsidRPr="001F741F">
              <w:rPr>
                <w:sz w:val="20"/>
                <w:highlight w:val="white"/>
                <w:lang w:val="en-GB"/>
              </w:rPr>
              <w:t>(iii)</w:t>
            </w:r>
            <w:r w:rsidRPr="001F741F">
              <w:rPr>
                <w:i/>
                <w:sz w:val="20"/>
                <w:highlight w:val="white"/>
                <w:lang w:val="en-GB"/>
              </w:rPr>
              <w:t xml:space="preserve"> Ideation and selection of improvement actions:</w:t>
            </w:r>
            <w:r w:rsidRPr="001F741F">
              <w:rPr>
                <w:sz w:val="20"/>
                <w:highlight w:val="white"/>
                <w:lang w:val="en-GB"/>
              </w:rPr>
              <w:t xml:space="preserve"> local CMCs directors with the help of project researchers; (iv)</w:t>
            </w:r>
            <w:r w:rsidRPr="001F741F">
              <w:rPr>
                <w:i/>
                <w:sz w:val="20"/>
                <w:highlight w:val="white"/>
                <w:lang w:val="en-GB"/>
              </w:rPr>
              <w:t xml:space="preserve"> Consolidation and adaptation of the actions</w:t>
            </w:r>
            <w:r w:rsidRPr="001F741F">
              <w:rPr>
                <w:sz w:val="20"/>
                <w:highlight w:val="white"/>
                <w:lang w:val="en-GB"/>
              </w:rPr>
              <w:t>: local staff, project researchers, local community members; and</w:t>
            </w:r>
            <w:r>
              <w:rPr>
                <w:sz w:val="20"/>
                <w:highlight w:val="white"/>
                <w:lang w:val="en-GB"/>
              </w:rPr>
              <w:t xml:space="preserve"> </w:t>
            </w:r>
            <w:r w:rsidRPr="001F741F">
              <w:rPr>
                <w:sz w:val="20"/>
                <w:highlight w:val="white"/>
                <w:lang w:val="en-GB"/>
              </w:rPr>
              <w:t>(v)</w:t>
            </w:r>
            <w:r>
              <w:rPr>
                <w:sz w:val="20"/>
                <w:highlight w:val="white"/>
                <w:lang w:val="en-GB"/>
              </w:rPr>
              <w:t xml:space="preserve"> </w:t>
            </w:r>
            <w:r w:rsidRPr="001F741F">
              <w:rPr>
                <w:i/>
                <w:sz w:val="20"/>
                <w:highlight w:val="white"/>
                <w:lang w:val="en-GB"/>
              </w:rPr>
              <w:t>Implementation</w:t>
            </w:r>
            <w:r w:rsidRPr="001F741F">
              <w:rPr>
                <w:sz w:val="20"/>
                <w:highlight w:val="white"/>
                <w:lang w:val="en-GB"/>
              </w:rPr>
              <w:t>: local staff, remote support of researchers.</w:t>
            </w:r>
          </w:p>
          <w:p w:rsidR="00FE3484" w:rsidRPr="001F741F" w:rsidRDefault="00FE3484" w:rsidP="00A30F5D">
            <w:pPr>
              <w:pStyle w:val="Normal1"/>
              <w:widowControl w:val="0"/>
              <w:rPr>
                <w:lang w:val="en-GB"/>
              </w:rPr>
            </w:pPr>
            <w:r w:rsidRPr="001F741F">
              <w:rPr>
                <w:b/>
                <w:sz w:val="20"/>
                <w:highlight w:val="white"/>
                <w:lang w:val="en-GB"/>
              </w:rPr>
              <w:t>Knowledge produced:</w:t>
            </w:r>
            <w:r w:rsidRPr="001F741F">
              <w:rPr>
                <w:sz w:val="20"/>
                <w:highlight w:val="white"/>
                <w:lang w:val="en-GB"/>
              </w:rPr>
              <w:t xml:space="preserve"> The knowledge elicited from the exploratory phase (interviews with local stakeholders) covered local perceptions of CMCs and was specific for each of the 10 locations. Distilled findings were presented during the first co-design workshop, </w:t>
            </w:r>
            <w:r>
              <w:rPr>
                <w:sz w:val="20"/>
                <w:highlight w:val="white"/>
                <w:lang w:val="en-GB"/>
              </w:rPr>
              <w:t>where</w:t>
            </w:r>
            <w:r w:rsidRPr="001F741F">
              <w:rPr>
                <w:sz w:val="20"/>
                <w:highlight w:val="white"/>
                <w:lang w:val="en-GB"/>
              </w:rPr>
              <w:t xml:space="preserve"> CMC directors brainstormed and decided upon improvement actions for their own CMCs.</w:t>
            </w:r>
          </w:p>
          <w:p w:rsidR="00FE3484" w:rsidRPr="001F741F" w:rsidRDefault="00FE3484" w:rsidP="00A30F5D">
            <w:pPr>
              <w:pStyle w:val="Normal1"/>
              <w:widowControl w:val="0"/>
              <w:rPr>
                <w:lang w:val="en-GB"/>
              </w:rPr>
            </w:pPr>
            <w:r w:rsidRPr="001F741F">
              <w:rPr>
                <w:b/>
                <w:sz w:val="20"/>
                <w:highlight w:val="white"/>
                <w:lang w:val="en-GB"/>
              </w:rPr>
              <w:t>Theoretical and methodological framing:</w:t>
            </w:r>
            <w:r>
              <w:rPr>
                <w:b/>
                <w:sz w:val="20"/>
                <w:highlight w:val="white"/>
                <w:lang w:val="en-GB"/>
              </w:rPr>
              <w:t xml:space="preserve"> </w:t>
            </w:r>
            <w:r w:rsidRPr="001F741F">
              <w:rPr>
                <w:sz w:val="20"/>
                <w:highlight w:val="white"/>
                <w:lang w:val="en-GB"/>
              </w:rPr>
              <w:t>Social Representations Theory to delve into local understandings, and co-design as a means for local participation.</w:t>
            </w:r>
          </w:p>
          <w:p w:rsidR="00FE3484" w:rsidRDefault="00FE3484" w:rsidP="00A30F5D">
            <w:pPr>
              <w:pStyle w:val="Normal1"/>
              <w:spacing w:after="60"/>
              <w:rPr>
                <w:lang w:val="en-GB"/>
              </w:rPr>
            </w:pPr>
            <w:r w:rsidRPr="005045A7">
              <w:rPr>
                <w:b/>
                <w:sz w:val="20"/>
                <w:lang w:val="en-GB"/>
              </w:rPr>
              <w:t xml:space="preserve">Design goals: </w:t>
            </w:r>
            <w:r w:rsidRPr="005045A7">
              <w:rPr>
                <w:sz w:val="20"/>
                <w:lang w:val="en-GB"/>
              </w:rPr>
              <w:t xml:space="preserve">Nine </w:t>
            </w:r>
            <w:r>
              <w:rPr>
                <w:sz w:val="20"/>
                <w:highlight w:val="white"/>
                <w:lang w:val="en-GB"/>
              </w:rPr>
              <w:t>i</w:t>
            </w:r>
            <w:r w:rsidRPr="001F741F">
              <w:rPr>
                <w:sz w:val="20"/>
                <w:highlight w:val="white"/>
                <w:lang w:val="en-GB"/>
              </w:rPr>
              <w:t xml:space="preserve">mprovement actions, </w:t>
            </w:r>
            <w:r>
              <w:rPr>
                <w:sz w:val="20"/>
                <w:highlight w:val="white"/>
                <w:lang w:val="en-GB"/>
              </w:rPr>
              <w:t>including one featuring</w:t>
            </w:r>
            <w:r w:rsidRPr="001F741F">
              <w:rPr>
                <w:sz w:val="20"/>
                <w:highlight w:val="white"/>
                <w:lang w:val="en-GB"/>
              </w:rPr>
              <w:t xml:space="preserve"> a website managed by the CMC staff members to promote sustainable tourism in Ilha de Moçambique.</w:t>
            </w:r>
          </w:p>
        </w:tc>
      </w:tr>
    </w:tbl>
    <w:p w:rsidR="00580172" w:rsidRDefault="00FE3484" w:rsidP="00FE3484">
      <w:pPr>
        <w:spacing w:before="120"/>
        <w:jc w:val="center"/>
      </w:pPr>
      <w:r w:rsidRPr="00FE3484">
        <w:rPr>
          <w:rFonts w:ascii="Times New Roman" w:hAnsi="Times New Roman" w:cs="Times New Roman"/>
          <w:b/>
          <w:color w:val="auto"/>
          <w:szCs w:val="22"/>
        </w:rPr>
        <w:t xml:space="preserve">Table </w:t>
      </w:r>
      <w:r w:rsidRPr="00FE3484">
        <w:rPr>
          <w:rFonts w:ascii="Times New Roman" w:hAnsi="Times New Roman" w:cs="Times New Roman"/>
          <w:b/>
          <w:color w:val="auto"/>
          <w:szCs w:val="22"/>
        </w:rPr>
        <w:fldChar w:fldCharType="begin"/>
      </w:r>
      <w:r w:rsidRPr="00FE3484">
        <w:rPr>
          <w:rFonts w:ascii="Times New Roman" w:hAnsi="Times New Roman" w:cs="Times New Roman"/>
          <w:b/>
          <w:color w:val="auto"/>
          <w:szCs w:val="22"/>
        </w:rPr>
        <w:instrText xml:space="preserve"> SEQ Figure \* ARABIC </w:instrText>
      </w:r>
      <w:r w:rsidRPr="00FE3484">
        <w:rPr>
          <w:rFonts w:ascii="Times New Roman" w:hAnsi="Times New Roman" w:cs="Times New Roman"/>
          <w:b/>
          <w:color w:val="auto"/>
          <w:szCs w:val="22"/>
        </w:rPr>
        <w:fldChar w:fldCharType="separate"/>
      </w:r>
      <w:r w:rsidRPr="00FE3484">
        <w:rPr>
          <w:rFonts w:ascii="Times New Roman" w:hAnsi="Times New Roman" w:cs="Times New Roman"/>
          <w:b/>
          <w:noProof/>
          <w:color w:val="auto"/>
          <w:szCs w:val="22"/>
        </w:rPr>
        <w:t>1</w:t>
      </w:r>
      <w:r w:rsidRPr="00FE3484">
        <w:rPr>
          <w:rFonts w:ascii="Times New Roman" w:hAnsi="Times New Roman" w:cs="Times New Roman"/>
          <w:b/>
          <w:color w:val="auto"/>
          <w:szCs w:val="22"/>
        </w:rPr>
        <w:fldChar w:fldCharType="end"/>
      </w:r>
      <w:r w:rsidRPr="00FE3484">
        <w:rPr>
          <w:rFonts w:ascii="Times New Roman" w:hAnsi="Times New Roman" w:cs="Times New Roman"/>
          <w:b/>
          <w:color w:val="auto"/>
          <w:szCs w:val="22"/>
        </w:rPr>
        <w:t>.</w:t>
      </w:r>
      <w:r w:rsidRPr="00BB6F5C">
        <w:rPr>
          <w:rFonts w:ascii="Times New Roman" w:hAnsi="Times New Roman" w:cs="Times New Roman"/>
          <w:color w:val="auto"/>
          <w:szCs w:val="22"/>
        </w:rPr>
        <w:t xml:space="preserve"> Summary overview of the cases along the three analytical categories used</w:t>
      </w:r>
    </w:p>
    <w:sectPr w:rsidR="00580172" w:rsidSect="00FE3484">
      <w:headerReference w:type="even" r:id="rId7"/>
      <w:headerReference w:type="default" r:id="rId8"/>
      <w:footerReference w:type="even" r:id="rId9"/>
      <w:footerReference w:type="default" r:id="rId10"/>
      <w:headerReference w:type="first" r:id="rId11"/>
      <w:footerReference w:type="first" r:id="rId12"/>
      <w:pgSz w:w="12240" w:h="15840" w:code="1"/>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2874" w:rsidRDefault="00602874" w:rsidP="00313149">
      <w:pPr>
        <w:spacing w:after="0"/>
      </w:pPr>
      <w:r>
        <w:separator/>
      </w:r>
    </w:p>
  </w:endnote>
  <w:endnote w:type="continuationSeparator" w:id="0">
    <w:p w:rsidR="00602874" w:rsidRDefault="00602874" w:rsidP="0031314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3149" w:rsidRDefault="0031314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3149" w:rsidRDefault="0031314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3149" w:rsidRDefault="003131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2874" w:rsidRDefault="00602874" w:rsidP="00313149">
      <w:pPr>
        <w:spacing w:after="0"/>
      </w:pPr>
      <w:r>
        <w:separator/>
      </w:r>
    </w:p>
  </w:footnote>
  <w:footnote w:type="continuationSeparator" w:id="0">
    <w:p w:rsidR="00602874" w:rsidRDefault="00602874" w:rsidP="0031314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3149" w:rsidRDefault="0031314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3149" w:rsidRDefault="0031314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3149" w:rsidRDefault="0031314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3484"/>
    <w:rsid w:val="000939A1"/>
    <w:rsid w:val="00205955"/>
    <w:rsid w:val="00313149"/>
    <w:rsid w:val="003E7757"/>
    <w:rsid w:val="004C7F6A"/>
    <w:rsid w:val="00602874"/>
    <w:rsid w:val="009153A1"/>
    <w:rsid w:val="00FE3484"/>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484"/>
    <w:pPr>
      <w:spacing w:after="120" w:line="240" w:lineRule="auto"/>
    </w:pPr>
    <w:rPr>
      <w:rFonts w:ascii="Arial" w:eastAsia="Arial" w:hAnsi="Arial" w:cs="Arial"/>
      <w:color w:val="000000"/>
      <w:szCs w:val="20"/>
      <w:lang w:val="en-US"/>
    </w:rPr>
  </w:style>
  <w:style w:type="paragraph" w:styleId="Heading2">
    <w:name w:val="heading 2"/>
    <w:basedOn w:val="Normal1"/>
    <w:next w:val="Normal1"/>
    <w:link w:val="Heading2Char"/>
    <w:rsid w:val="00FE3484"/>
    <w:pPr>
      <w:keepNext/>
      <w:keepLines/>
      <w:spacing w:before="240" w:after="80"/>
      <w:outlineLvl w:val="1"/>
    </w:pPr>
    <w:rPr>
      <w:b/>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E3484"/>
    <w:rPr>
      <w:rFonts w:ascii="Times New Roman" w:eastAsia="Arial" w:hAnsi="Times New Roman" w:cs="Arial"/>
      <w:b/>
      <w:color w:val="000000"/>
      <w:sz w:val="28"/>
      <w:szCs w:val="20"/>
      <w:lang w:val="en-GB"/>
    </w:rPr>
  </w:style>
  <w:style w:type="paragraph" w:customStyle="1" w:styleId="Normal1">
    <w:name w:val="Normal1"/>
    <w:rsid w:val="00FE3484"/>
    <w:pPr>
      <w:spacing w:after="120" w:line="240" w:lineRule="auto"/>
    </w:pPr>
    <w:rPr>
      <w:rFonts w:ascii="Times New Roman" w:eastAsia="Arial" w:hAnsi="Times New Roman" w:cs="Arial"/>
      <w:color w:val="000000"/>
      <w:sz w:val="24"/>
      <w:szCs w:val="20"/>
      <w:lang w:val="en-US"/>
    </w:rPr>
  </w:style>
  <w:style w:type="table" w:styleId="TableGrid">
    <w:name w:val="Table Grid"/>
    <w:basedOn w:val="TableNormal"/>
    <w:uiPriority w:val="59"/>
    <w:rsid w:val="00FE3484"/>
    <w:pPr>
      <w:spacing w:after="0" w:line="240" w:lineRule="auto"/>
    </w:pPr>
    <w:rPr>
      <w:rFonts w:ascii="Arial" w:eastAsia="Arial" w:hAnsi="Arial" w:cs="Arial"/>
      <w:color w:val="00000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13149"/>
    <w:pPr>
      <w:tabs>
        <w:tab w:val="center" w:pos="4536"/>
        <w:tab w:val="right" w:pos="9072"/>
      </w:tabs>
      <w:spacing w:after="0"/>
    </w:pPr>
  </w:style>
  <w:style w:type="character" w:customStyle="1" w:styleId="HeaderChar">
    <w:name w:val="Header Char"/>
    <w:basedOn w:val="DefaultParagraphFont"/>
    <w:link w:val="Header"/>
    <w:uiPriority w:val="99"/>
    <w:rsid w:val="00313149"/>
    <w:rPr>
      <w:rFonts w:ascii="Arial" w:eastAsia="Arial" w:hAnsi="Arial" w:cs="Arial"/>
      <w:color w:val="000000"/>
      <w:szCs w:val="20"/>
      <w:lang w:val="en-US"/>
    </w:rPr>
  </w:style>
  <w:style w:type="paragraph" w:styleId="Footer">
    <w:name w:val="footer"/>
    <w:basedOn w:val="Normal"/>
    <w:link w:val="FooterChar"/>
    <w:uiPriority w:val="99"/>
    <w:unhideWhenUsed/>
    <w:rsid w:val="00313149"/>
    <w:pPr>
      <w:tabs>
        <w:tab w:val="center" w:pos="4536"/>
        <w:tab w:val="right" w:pos="9072"/>
      </w:tabs>
      <w:spacing w:after="0"/>
    </w:pPr>
  </w:style>
  <w:style w:type="character" w:customStyle="1" w:styleId="FooterChar">
    <w:name w:val="Footer Char"/>
    <w:basedOn w:val="DefaultParagraphFont"/>
    <w:link w:val="Footer"/>
    <w:uiPriority w:val="99"/>
    <w:rsid w:val="00313149"/>
    <w:rPr>
      <w:rFonts w:ascii="Arial" w:eastAsia="Arial" w:hAnsi="Arial" w:cs="Arial"/>
      <w:color w:val="00000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484"/>
    <w:pPr>
      <w:spacing w:after="120" w:line="240" w:lineRule="auto"/>
    </w:pPr>
    <w:rPr>
      <w:rFonts w:ascii="Arial" w:eastAsia="Arial" w:hAnsi="Arial" w:cs="Arial"/>
      <w:color w:val="000000"/>
      <w:szCs w:val="20"/>
      <w:lang w:val="en-US"/>
    </w:rPr>
  </w:style>
  <w:style w:type="paragraph" w:styleId="Heading2">
    <w:name w:val="heading 2"/>
    <w:basedOn w:val="Normal1"/>
    <w:next w:val="Normal1"/>
    <w:link w:val="Heading2Char"/>
    <w:rsid w:val="00FE3484"/>
    <w:pPr>
      <w:keepNext/>
      <w:keepLines/>
      <w:spacing w:before="240" w:after="80"/>
      <w:outlineLvl w:val="1"/>
    </w:pPr>
    <w:rPr>
      <w:b/>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E3484"/>
    <w:rPr>
      <w:rFonts w:ascii="Times New Roman" w:eastAsia="Arial" w:hAnsi="Times New Roman" w:cs="Arial"/>
      <w:b/>
      <w:color w:val="000000"/>
      <w:sz w:val="28"/>
      <w:szCs w:val="20"/>
      <w:lang w:val="en-GB"/>
    </w:rPr>
  </w:style>
  <w:style w:type="paragraph" w:customStyle="1" w:styleId="Normal1">
    <w:name w:val="Normal1"/>
    <w:rsid w:val="00FE3484"/>
    <w:pPr>
      <w:spacing w:after="120" w:line="240" w:lineRule="auto"/>
    </w:pPr>
    <w:rPr>
      <w:rFonts w:ascii="Times New Roman" w:eastAsia="Arial" w:hAnsi="Times New Roman" w:cs="Arial"/>
      <w:color w:val="000000"/>
      <w:sz w:val="24"/>
      <w:szCs w:val="20"/>
      <w:lang w:val="en-US"/>
    </w:rPr>
  </w:style>
  <w:style w:type="table" w:styleId="TableGrid">
    <w:name w:val="Table Grid"/>
    <w:basedOn w:val="TableNormal"/>
    <w:uiPriority w:val="59"/>
    <w:rsid w:val="00FE3484"/>
    <w:pPr>
      <w:spacing w:after="0" w:line="240" w:lineRule="auto"/>
    </w:pPr>
    <w:rPr>
      <w:rFonts w:ascii="Arial" w:eastAsia="Arial" w:hAnsi="Arial" w:cs="Arial"/>
      <w:color w:val="00000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13149"/>
    <w:pPr>
      <w:tabs>
        <w:tab w:val="center" w:pos="4536"/>
        <w:tab w:val="right" w:pos="9072"/>
      </w:tabs>
      <w:spacing w:after="0"/>
    </w:pPr>
  </w:style>
  <w:style w:type="character" w:customStyle="1" w:styleId="HeaderChar">
    <w:name w:val="Header Char"/>
    <w:basedOn w:val="DefaultParagraphFont"/>
    <w:link w:val="Header"/>
    <w:uiPriority w:val="99"/>
    <w:rsid w:val="00313149"/>
    <w:rPr>
      <w:rFonts w:ascii="Arial" w:eastAsia="Arial" w:hAnsi="Arial" w:cs="Arial"/>
      <w:color w:val="000000"/>
      <w:szCs w:val="20"/>
      <w:lang w:val="en-US"/>
    </w:rPr>
  </w:style>
  <w:style w:type="paragraph" w:styleId="Footer">
    <w:name w:val="footer"/>
    <w:basedOn w:val="Normal"/>
    <w:link w:val="FooterChar"/>
    <w:uiPriority w:val="99"/>
    <w:unhideWhenUsed/>
    <w:rsid w:val="00313149"/>
    <w:pPr>
      <w:tabs>
        <w:tab w:val="center" w:pos="4536"/>
        <w:tab w:val="right" w:pos="9072"/>
      </w:tabs>
      <w:spacing w:after="0"/>
    </w:pPr>
  </w:style>
  <w:style w:type="character" w:customStyle="1" w:styleId="FooterChar">
    <w:name w:val="Footer Char"/>
    <w:basedOn w:val="DefaultParagraphFont"/>
    <w:link w:val="Footer"/>
    <w:uiPriority w:val="99"/>
    <w:rsid w:val="00313149"/>
    <w:rPr>
      <w:rFonts w:ascii="Arial" w:eastAsia="Arial" w:hAnsi="Arial" w:cs="Arial"/>
      <w:color w:val="00000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610</Words>
  <Characters>3361</Characters>
  <Application>Microsoft Office Word</Application>
  <DocSecurity>0</DocSecurity>
  <Lines>28</Lines>
  <Paragraphs>7</Paragraphs>
  <ScaleCrop>false</ScaleCrop>
  <Company/>
  <LinksUpToDate>false</LinksUpToDate>
  <CharactersWithSpaces>3964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2014-11-15T12:06:00Z</dcterms:created>
  <dcterms:modified xsi:type="dcterms:W3CDTF">2014-11-15T12:07:00Z</dcterms:modified>
</cp:coreProperties>
</file>