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What are community networks for?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Supplemental response to reviewers/editors: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have focused in this revision on explaining the selection of case studies reviewed and situating them in the tradition of research on community networks. However, instead of expanding the section on PAR (as suggested was necessary by both reviewers if it were to be a major recommendations), I took the first reviewer’s comments to heart (e.g. that the section on PAR could in fact be a different paper). I therefore expanded and re-organized the paper to fully synthesize and analyze findings from the selected case studies, and removed the section on the “proposed research commons,” which also needs considerable development. Additionally, as suggested by the second reviewer, I have also honed the focus on the research question and framework more than specific research methods.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