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rtl w:val="0"/>
        </w:rPr>
        <w:t xml:space="preserve">What are community networks for?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Supplemental response to reviewers/editors: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have focused in this revision on explaining the selection of case studies reviewed and situating them in the tradition of research on community networks. However, instead of expanding the section on PAR (as suggested was necessary by both reviewers if it were to be a major recommendations), I took the first reviewer’s comments to heart (e.g. that the section on PAR could in fact be a different paper). I therefore expanded and re-organized the paper to fully synthesize and analyze findings from the selected case studies, and removed the section on the “proposed research commons,” which also needs considerable development. Additionally, as suggested by the second reviewer, I have also honed the focus on the research question and framework more than specific research methods. </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