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10F05" w14:textId="77777777" w:rsidR="0031482B" w:rsidRDefault="00F6700F" w:rsidP="00A61CBE">
      <w:pPr>
        <w:pStyle w:val="Title"/>
      </w:pPr>
      <w:bookmarkStart w:id="0" w:name="_GoBack"/>
      <w:bookmarkEnd w:id="0"/>
      <w:r>
        <w:t xml:space="preserve">Data literacy </w:t>
      </w:r>
      <w:r w:rsidR="001F07CC">
        <w:t xml:space="preserve">conceptions, </w:t>
      </w:r>
      <w:r w:rsidR="005F5F08">
        <w:t xml:space="preserve">community </w:t>
      </w:r>
      <w:r w:rsidR="0002262A">
        <w:t>capabilities</w:t>
      </w:r>
    </w:p>
    <w:p w14:paraId="109A1294" w14:textId="77777777" w:rsidR="00F6700F" w:rsidRDefault="00F6700F" w:rsidP="00A61CBE"/>
    <w:p w14:paraId="01C7707E" w14:textId="77777777" w:rsidR="00F6700F" w:rsidRDefault="00F6700F" w:rsidP="00A61CBE">
      <w:pPr>
        <w:pStyle w:val="Heading1"/>
      </w:pPr>
      <w:r>
        <w:t>Introduction</w:t>
      </w:r>
    </w:p>
    <w:p w14:paraId="5B333224" w14:textId="77777777" w:rsidR="00F6700F" w:rsidRDefault="00F6700F" w:rsidP="00A61CBE"/>
    <w:p w14:paraId="56177AE7" w14:textId="77777777" w:rsidR="00623386" w:rsidRDefault="00860FA9" w:rsidP="00FA351E">
      <w:r>
        <w:t xml:space="preserve">Data literacy as a concept carries ambiguity </w:t>
      </w:r>
      <w:r w:rsidR="00D46920" w:rsidRPr="00D46920">
        <w:rPr>
          <w:noProof/>
        </w:rPr>
        <w:t>(IODC, 2015)</w:t>
      </w:r>
      <w:r>
        <w:t xml:space="preserve">. </w:t>
      </w:r>
      <w:r w:rsidR="006C28D6">
        <w:t>A broad definition is it is that which “</w:t>
      </w:r>
      <w:r w:rsidR="006C28D6" w:rsidRPr="006C28D6">
        <w:rPr>
          <w:bCs/>
          <w:lang w:val="en-US"/>
        </w:rPr>
        <w:t>enables individuals to access, interpret, critically assess, manage, handle and ethically use data”</w:t>
      </w:r>
      <w:r w:rsidR="006C28D6">
        <w:rPr>
          <w:bCs/>
          <w:lang w:val="en-US"/>
        </w:rPr>
        <w:t xml:space="preserve"> </w:t>
      </w:r>
      <w:r w:rsidR="00190771" w:rsidRPr="00190771">
        <w:rPr>
          <w:bCs/>
          <w:noProof/>
          <w:lang w:val="en-US"/>
        </w:rPr>
        <w:t>(Prado &amp; Marzal, 2013)</w:t>
      </w:r>
      <w:r w:rsidR="00190771">
        <w:rPr>
          <w:bCs/>
          <w:lang w:val="en-US"/>
        </w:rPr>
        <w:t xml:space="preserve">. </w:t>
      </w:r>
      <w:r w:rsidR="006C28D6">
        <w:rPr>
          <w:b/>
          <w:bCs/>
          <w:lang w:val="en-US"/>
        </w:rPr>
        <w:t xml:space="preserve"> </w:t>
      </w:r>
      <w:r w:rsidR="006C28D6" w:rsidRPr="006C28D6">
        <w:rPr>
          <w:bCs/>
          <w:lang w:val="en-US"/>
        </w:rPr>
        <w:t>Yet a</w:t>
      </w:r>
      <w:r w:rsidR="00115507">
        <w:t xml:space="preserve"> range of alternat</w:t>
      </w:r>
      <w:r w:rsidR="003C1252">
        <w:t>iv</w:t>
      </w:r>
      <w:r w:rsidR="00115507">
        <w:t xml:space="preserve">e, partially overlapping conceptions exist. Sources of variation include the </w:t>
      </w:r>
      <w:r w:rsidR="003341CD">
        <w:t xml:space="preserve">sector of origin, the </w:t>
      </w:r>
      <w:r w:rsidR="00115507">
        <w:t>relative weight and treatment given to different data</w:t>
      </w:r>
      <w:r w:rsidR="005F5F08">
        <w:t>-related</w:t>
      </w:r>
      <w:r w:rsidR="00115507">
        <w:t xml:space="preserve"> competencies </w:t>
      </w:r>
      <w:r w:rsidR="003119D2">
        <w:t xml:space="preserve">and the extent to which the concept should extend to </w:t>
      </w:r>
      <w:r w:rsidR="00C517BE">
        <w:t xml:space="preserve">its </w:t>
      </w:r>
      <w:r w:rsidR="005C6F07" w:rsidRPr="005C6F07">
        <w:rPr>
          <w:i/>
        </w:rPr>
        <w:t>framing</w:t>
      </w:r>
      <w:r w:rsidR="003119D2">
        <w:t xml:space="preserve"> context, including individual or organisational goal-</w:t>
      </w:r>
      <w:r w:rsidR="00250186">
        <w:t>setting.</w:t>
      </w:r>
      <w:r w:rsidR="00115507">
        <w:t xml:space="preserve"> </w:t>
      </w:r>
      <w:r w:rsidR="00CA6AB0">
        <w:t>Equally</w:t>
      </w:r>
      <w:r w:rsidR="00115507">
        <w:t xml:space="preserve"> important for community informatics, however, is the extent to which data literacy can be a pathway to </w:t>
      </w:r>
      <w:r w:rsidR="003119D2">
        <w:t>new capacities</w:t>
      </w:r>
      <w:r w:rsidR="00115507">
        <w:t xml:space="preserve"> within </w:t>
      </w:r>
      <w:r w:rsidR="003119D2">
        <w:t>locally-focused</w:t>
      </w:r>
      <w:r w:rsidR="00115507">
        <w:t xml:space="preserve"> groups. Here, it is useful to consider enhanced knowledge as providing new rights and freedoms over</w:t>
      </w:r>
      <w:r w:rsidR="00CA6AB0">
        <w:t xml:space="preserve"> and</w:t>
      </w:r>
      <w:r w:rsidR="00115507">
        <w:t xml:space="preserve"> above possible material benefits. For this reason, steering the conc</w:t>
      </w:r>
      <w:r w:rsidR="005C6F07">
        <w:t xml:space="preserve">ept of data literacy towards a </w:t>
      </w:r>
      <w:r w:rsidR="00115507" w:rsidRPr="005C6F07">
        <w:rPr>
          <w:i/>
        </w:rPr>
        <w:t>capabilitie</w:t>
      </w:r>
      <w:r w:rsidR="005C6F07" w:rsidRPr="005C6F07">
        <w:rPr>
          <w:i/>
        </w:rPr>
        <w:t>s</w:t>
      </w:r>
      <w:r w:rsidR="00115507">
        <w:t xml:space="preserve"> conception </w:t>
      </w:r>
      <w:r w:rsidR="001F07CC">
        <w:t>is</w:t>
      </w:r>
      <w:r w:rsidR="00115507">
        <w:t xml:space="preserve"> useful.</w:t>
      </w:r>
    </w:p>
    <w:p w14:paraId="5DD2C902" w14:textId="77777777" w:rsidR="00115507" w:rsidRDefault="00115507" w:rsidP="00FA351E"/>
    <w:p w14:paraId="7A762A70" w14:textId="77777777" w:rsidR="00115507" w:rsidRDefault="00115507" w:rsidP="00FA351E">
      <w:r>
        <w:t>This article looks at an overarching general competency framework, followed by four conceptions of data literacy</w:t>
      </w:r>
      <w:r w:rsidR="003341CD">
        <w:t xml:space="preserve"> – identified by text mining –</w:t>
      </w:r>
      <w:r>
        <w:t xml:space="preserve"> which vary </w:t>
      </w:r>
      <w:r w:rsidR="005F5F08">
        <w:t>in</w:t>
      </w:r>
      <w:r w:rsidR="00172ED2">
        <w:t xml:space="preserve"> their</w:t>
      </w:r>
      <w:r w:rsidR="005F5F08">
        <w:t xml:space="preserve"> explicit emphasis. Then</w:t>
      </w:r>
      <w:r w:rsidR="004F6A3C">
        <w:t>,</w:t>
      </w:r>
      <w:r w:rsidR="005F5F08">
        <w:t xml:space="preserve"> Ama</w:t>
      </w:r>
      <w:r w:rsidR="00DF1110">
        <w:t>rtya</w:t>
      </w:r>
      <w:r w:rsidR="003D581F">
        <w:t xml:space="preserve"> Sen’s </w:t>
      </w:r>
      <w:r w:rsidR="003D581F" w:rsidRPr="005C6F07">
        <w:rPr>
          <w:i/>
        </w:rPr>
        <w:t>capability approach</w:t>
      </w:r>
      <w:r w:rsidR="005F5F08">
        <w:t xml:space="preserve"> from development economics is proposed as a way to </w:t>
      </w:r>
      <w:r w:rsidR="00B66971">
        <w:t xml:space="preserve">help emphasise the </w:t>
      </w:r>
      <w:r w:rsidR="003E41FD">
        <w:t xml:space="preserve">necessary </w:t>
      </w:r>
      <w:r w:rsidR="00B66971">
        <w:t>features of</w:t>
      </w:r>
      <w:r w:rsidR="005F5F08">
        <w:t xml:space="preserve"> a </w:t>
      </w:r>
      <w:r w:rsidR="006F0705">
        <w:t>widened</w:t>
      </w:r>
      <w:r w:rsidR="00B03A1A">
        <w:t>,</w:t>
      </w:r>
      <w:r w:rsidR="006F0705">
        <w:t xml:space="preserve"> </w:t>
      </w:r>
      <w:r w:rsidR="005F5F08">
        <w:t>community</w:t>
      </w:r>
      <w:r w:rsidR="002C2097">
        <w:t>-oriented</w:t>
      </w:r>
      <w:r w:rsidR="005F5F08">
        <w:t xml:space="preserve"> conception of data literacy.</w:t>
      </w:r>
    </w:p>
    <w:p w14:paraId="22470D4A" w14:textId="77777777" w:rsidR="004B770E" w:rsidRDefault="004B770E" w:rsidP="004B770E"/>
    <w:p w14:paraId="1AD59A70" w14:textId="77777777" w:rsidR="003119D2" w:rsidRDefault="003E0106" w:rsidP="003119D2">
      <w:pPr>
        <w:pStyle w:val="Heading1"/>
      </w:pPr>
      <w:r>
        <w:t>A central</w:t>
      </w:r>
      <w:r w:rsidR="003119D2">
        <w:t xml:space="preserve"> skills framework</w:t>
      </w:r>
    </w:p>
    <w:p w14:paraId="0F928A44" w14:textId="77777777" w:rsidR="00865FB2" w:rsidRDefault="00865FB2" w:rsidP="00865FB2"/>
    <w:p w14:paraId="03CF0270" w14:textId="77777777" w:rsidR="00865FB2" w:rsidRDefault="00865FB2" w:rsidP="00865FB2">
      <w:r>
        <w:t>Figure 1, below, provides a generalised conceptual model of the core competencies of data literacy, most of which are cited in common across different sources on the topic.</w:t>
      </w:r>
    </w:p>
    <w:p w14:paraId="379D2ADA" w14:textId="77777777" w:rsidR="003119D2" w:rsidRDefault="003119D2" w:rsidP="003119D2"/>
    <w:p w14:paraId="2381AE76" w14:textId="77777777" w:rsidR="003119D2" w:rsidRDefault="003119D2" w:rsidP="003119D2">
      <w:r>
        <w:t xml:space="preserve">There is a common consensus that data literacy skills need to encompass both the creation and use of data </w:t>
      </w:r>
      <w:r w:rsidR="007E7500" w:rsidRPr="007E7500">
        <w:rPr>
          <w:noProof/>
        </w:rPr>
        <w:t>(Carlson, Fosmire, Miller, &amp; Nelson, 2011)</w:t>
      </w:r>
      <w:r>
        <w:t xml:space="preserve"> That said, many of the competencies following the acquisition of data from either route are </w:t>
      </w:r>
      <w:r w:rsidR="00172ED2">
        <w:t>common to both</w:t>
      </w:r>
      <w:r>
        <w:t>. To begin with, however, one needs to be able to frame a research question or problem that can be addressed with application of data</w:t>
      </w:r>
      <w:r w:rsidR="00CA27E0">
        <w:t xml:space="preserve"> (“Problem Formulation” in Figure 1)</w:t>
      </w:r>
      <w:r>
        <w:t xml:space="preserve">. This question itself will stem from a </w:t>
      </w:r>
      <w:r w:rsidR="00B06A8C">
        <w:t>stated goal of some sort</w:t>
      </w:r>
      <w:r w:rsidR="00946202">
        <w:t xml:space="preserve"> </w:t>
      </w:r>
      <w:r w:rsidR="000C5162" w:rsidRPr="000C5162">
        <w:rPr>
          <w:noProof/>
        </w:rPr>
        <w:t>(Anderson, Gummer, Mandinach, &amp; Parton, 2015)</w:t>
      </w:r>
      <w:r w:rsidR="00B06A8C">
        <w:t>. Thus, the first principle of data literacy is seen b</w:t>
      </w:r>
      <w:r w:rsidR="00AA3BB7">
        <w:t>y many to be smart goal-setting</w:t>
      </w:r>
      <w:r w:rsidR="00CA27E0">
        <w:t xml:space="preserve"> (“Goals/Theory of Change”)</w:t>
      </w:r>
      <w:r w:rsidR="00AA3BB7">
        <w:t>, followed by the informed analysis of data relevant to goal monitoring or validation</w:t>
      </w:r>
      <w:r w:rsidR="000C5162">
        <w:t xml:space="preserve"> </w:t>
      </w:r>
      <w:r w:rsidR="00824487" w:rsidRPr="00824487">
        <w:rPr>
          <w:noProof/>
        </w:rPr>
        <w:t>(Tygel, Campos, &amp; de Alvear, 2015)</w:t>
      </w:r>
      <w:r w:rsidR="00AA3BB7">
        <w:t>.</w:t>
      </w:r>
    </w:p>
    <w:p w14:paraId="410EA05C" w14:textId="77777777" w:rsidR="00AA3BB7" w:rsidRDefault="00AA3BB7" w:rsidP="003119D2"/>
    <w:p w14:paraId="692ACBCD" w14:textId="77777777" w:rsidR="00AA3BB7" w:rsidRDefault="00AA3BB7" w:rsidP="003119D2">
      <w:r>
        <w:t>If data already exists, then skills are required to source and extract it, then to further assess quality and credibility</w:t>
      </w:r>
      <w:r w:rsidR="00CA27E0">
        <w:t xml:space="preserve"> (“Discovery”,</w:t>
      </w:r>
      <w:r w:rsidR="00B20CD5">
        <w:t xml:space="preserve"> “</w:t>
      </w:r>
      <w:r w:rsidR="00CA27E0">
        <w:t>Accessing”,</w:t>
      </w:r>
      <w:r w:rsidR="00B20CD5">
        <w:t xml:space="preserve"> “</w:t>
      </w:r>
      <w:r w:rsidR="00CA27E0">
        <w:t>Assessing</w:t>
      </w:r>
      <w:r w:rsidR="00B20CD5">
        <w:t>”)</w:t>
      </w:r>
      <w:r>
        <w:t>. Creation of new data clearly requires knowledge of the relevant method of production and any relevant technology or methodology</w:t>
      </w:r>
      <w:r w:rsidR="00B20CD5">
        <w:t xml:space="preserve"> (“Creating”, “Methods”)</w:t>
      </w:r>
      <w:r>
        <w:t>. Some of the most widely discussed</w:t>
      </w:r>
      <w:r w:rsidR="00EF15CD">
        <w:t xml:space="preserve"> or core</w:t>
      </w:r>
      <w:r>
        <w:t xml:space="preserve"> competencies then centre around pre-analysis steps concerned with cleaning</w:t>
      </w:r>
      <w:r w:rsidR="00EF15CD">
        <w:t xml:space="preserve"> and transforming data, as well as combining da</w:t>
      </w:r>
      <w:r w:rsidR="005C6F07">
        <w:t>ta from multiple sources</w:t>
      </w:r>
      <w:r w:rsidR="00B20CD5">
        <w:t xml:space="preserve"> (“Cleaning”, “Converting”, “Merging”)</w:t>
      </w:r>
      <w:r w:rsidR="005C6F07">
        <w:t xml:space="preserve">. This </w:t>
      </w:r>
      <w:r w:rsidR="005C6F07" w:rsidRPr="005C6F07">
        <w:rPr>
          <w:i/>
        </w:rPr>
        <w:t>data munging</w:t>
      </w:r>
      <w:r w:rsidR="00EF15CD">
        <w:t xml:space="preserve"> is repeatedly noted to be an under</w:t>
      </w:r>
      <w:r w:rsidR="00542686">
        <w:t>estimated skill</w:t>
      </w:r>
      <w:r w:rsidR="00EF15CD">
        <w:t xml:space="preserve">, yet </w:t>
      </w:r>
      <w:r w:rsidR="00542686">
        <w:t xml:space="preserve">a </w:t>
      </w:r>
      <w:r w:rsidR="00EF15CD">
        <w:t xml:space="preserve">considerably extensive part of </w:t>
      </w:r>
      <w:r w:rsidR="00EF15CD">
        <w:lastRenderedPageBreak/>
        <w:t>any data work</w:t>
      </w:r>
      <w:r w:rsidR="005522B7">
        <w:t xml:space="preserve"> </w:t>
      </w:r>
      <w:r w:rsidR="00CA6776" w:rsidRPr="00CA6776">
        <w:rPr>
          <w:noProof/>
        </w:rPr>
        <w:t>(Coulton, Goerge, Putnam-hornstein, &amp; de Haan, 2015; Kingsley, Pettit, &amp; Hendey, 2013)</w:t>
      </w:r>
      <w:r w:rsidR="00EF15CD">
        <w:t>.</w:t>
      </w:r>
    </w:p>
    <w:p w14:paraId="29D96445" w14:textId="77777777" w:rsidR="00EF15CD" w:rsidRDefault="00EF15CD" w:rsidP="003119D2"/>
    <w:p w14:paraId="13E87B05" w14:textId="77777777" w:rsidR="008C5572" w:rsidRDefault="00EF15CD" w:rsidP="008C5572">
      <w:r>
        <w:t xml:space="preserve">Analysis </w:t>
      </w:r>
      <w:r w:rsidR="005C6F07">
        <w:t xml:space="preserve">is usually seen to require the </w:t>
      </w:r>
      <w:r w:rsidR="005C6F07" w:rsidRPr="005C6F07">
        <w:rPr>
          <w:i/>
        </w:rPr>
        <w:t>sub-literacy</w:t>
      </w:r>
      <w:r>
        <w:t xml:space="preserve"> of statistics to test out hypotheses and explore relationships</w:t>
      </w:r>
      <w:r w:rsidR="008C5572">
        <w:t xml:space="preserve"> </w:t>
      </w:r>
      <w:r w:rsidR="00540AD1" w:rsidRPr="00540AD1">
        <w:rPr>
          <w:noProof/>
        </w:rPr>
        <w:t>(Carlson et al., 2011)</w:t>
      </w:r>
      <w:r>
        <w:t>.  This stage is often linked to the use of platforms and tools to help with the analysis</w:t>
      </w:r>
      <w:r w:rsidR="00B20CD5">
        <w:t xml:space="preserve"> (“Methods” and “Tools”</w:t>
      </w:r>
      <w:r w:rsidR="001258F6">
        <w:t>)</w:t>
      </w:r>
      <w:r>
        <w:t>.</w:t>
      </w:r>
      <w:r w:rsidR="008C5572">
        <w:t xml:space="preserve"> While such tools and platforms for data cleaning, analysis and publication are increasingly powerful and easy to use, they can only be considered as part of a solution and advanced knowledge in other aspects of data work will also be needed </w:t>
      </w:r>
      <w:r w:rsidR="008C5572" w:rsidRPr="0066497A">
        <w:rPr>
          <w:noProof/>
        </w:rPr>
        <w:t>(Davies, Perini, &amp; Alonso, 2016)</w:t>
      </w:r>
      <w:r w:rsidR="008C5572">
        <w:t xml:space="preserve">. </w:t>
      </w:r>
    </w:p>
    <w:p w14:paraId="58C41B06" w14:textId="77777777" w:rsidR="00CA6776" w:rsidRDefault="00CA6776" w:rsidP="003119D2"/>
    <w:p w14:paraId="764D9576" w14:textId="77777777" w:rsidR="00EF15CD" w:rsidRDefault="00EF15CD" w:rsidP="003119D2">
      <w:r>
        <w:t>Post-analytical data competencies include the sensible archiving of data for reuse, which should involve considerations about access and security</w:t>
      </w:r>
      <w:r w:rsidR="00B20CD5">
        <w:t xml:space="preserve"> (“Preserving”, “Archiving”)</w:t>
      </w:r>
      <w:r>
        <w:t>, in addition to adequate description</w:t>
      </w:r>
      <w:r w:rsidR="00CA6776">
        <w:t xml:space="preserve"> </w:t>
      </w:r>
      <w:r w:rsidR="000C4011" w:rsidRPr="000C4011">
        <w:rPr>
          <w:noProof/>
        </w:rPr>
        <w:t>(Federer, Lu, &amp; Joubert, 2016)</w:t>
      </w:r>
      <w:r>
        <w:t>.</w:t>
      </w:r>
    </w:p>
    <w:p w14:paraId="196BB95E" w14:textId="77777777" w:rsidR="00EF15CD" w:rsidRDefault="00EF15CD" w:rsidP="003119D2"/>
    <w:p w14:paraId="54B31B65" w14:textId="77777777" w:rsidR="00EF15CD" w:rsidRDefault="003341CD" w:rsidP="003119D2">
      <w:r>
        <w:t xml:space="preserve">The final area – </w:t>
      </w:r>
      <w:r w:rsidR="00EF15CD">
        <w:t>communication of outcomes</w:t>
      </w:r>
      <w:r>
        <w:t xml:space="preserve"> –</w:t>
      </w:r>
      <w:r w:rsidR="00EF15CD">
        <w:t xml:space="preserve"> is one where a great deal of emphasis is placed, particularly in light of the wealth of visualisation and exploration tools now available</w:t>
      </w:r>
      <w:r w:rsidR="00B20CD5">
        <w:t xml:space="preserve"> (“Communicating”)</w:t>
      </w:r>
      <w:r w:rsidR="00EF15CD">
        <w:t xml:space="preserve">. There is also a notable trend toward </w:t>
      </w:r>
      <w:r w:rsidR="00EF15CD" w:rsidRPr="003341CD">
        <w:rPr>
          <w:i/>
        </w:rPr>
        <w:t>storytelling</w:t>
      </w:r>
      <w:r w:rsidR="00EF15CD">
        <w:t xml:space="preserve"> with data, where narrative is seen as the most effective way of getting across the whole lifecycle from goal to result and the new insights afforded by the analysis</w:t>
      </w:r>
      <w:r w:rsidR="000C4011">
        <w:t xml:space="preserve"> </w:t>
      </w:r>
      <w:r w:rsidR="0006410A" w:rsidRPr="0006410A">
        <w:rPr>
          <w:noProof/>
        </w:rPr>
        <w:t>(IODC, 2015)</w:t>
      </w:r>
      <w:r w:rsidR="00EF15CD">
        <w:t>.</w:t>
      </w:r>
      <w:r w:rsidR="00AA5731">
        <w:t xml:space="preserve"> </w:t>
      </w:r>
    </w:p>
    <w:p w14:paraId="762EE022" w14:textId="77777777" w:rsidR="00AA5731" w:rsidRDefault="00AA5731" w:rsidP="003119D2"/>
    <w:p w14:paraId="7F596E83" w14:textId="77777777" w:rsidR="00EF15CD" w:rsidRDefault="00EF15CD" w:rsidP="003119D2"/>
    <w:p w14:paraId="24F182AA" w14:textId="77777777" w:rsidR="00EF15CD" w:rsidRDefault="00EF15CD" w:rsidP="003119D2"/>
    <w:p w14:paraId="602E7CF6" w14:textId="77777777" w:rsidR="004D2FD2" w:rsidRPr="00EF15CD" w:rsidRDefault="00EF15CD" w:rsidP="003119D2">
      <w:r w:rsidRPr="00EF15CD">
        <w:rPr>
          <w:b/>
        </w:rPr>
        <w:t>Figure 1: Generalised conceptual model of data literacy</w:t>
      </w:r>
      <w:r w:rsidR="00845FE5">
        <w:rPr>
          <w:b/>
        </w:rPr>
        <w:t xml:space="preserve"> activities</w:t>
      </w:r>
      <w:r>
        <w:rPr>
          <w:b/>
        </w:rPr>
        <w:t xml:space="preserve">. </w:t>
      </w:r>
    </w:p>
    <w:p w14:paraId="727CD4F6" w14:textId="77777777" w:rsidR="00EF15CD" w:rsidRDefault="00EF15CD" w:rsidP="003119D2"/>
    <w:p w14:paraId="3A02DB47" w14:textId="77777777" w:rsidR="004D2FD2" w:rsidRPr="003119D2" w:rsidRDefault="004D2FD2" w:rsidP="003119D2">
      <w:r>
        <w:rPr>
          <w:noProof/>
          <w:lang w:val="en-US"/>
        </w:rPr>
        <w:drawing>
          <wp:inline distT="0" distB="0" distL="0" distR="0" wp14:anchorId="6B4B06B3" wp14:editId="384CF7A4">
            <wp:extent cx="5423535" cy="4450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conceptma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5073" cy="4451928"/>
                    </a:xfrm>
                    <a:prstGeom prst="rect">
                      <a:avLst/>
                    </a:prstGeom>
                  </pic:spPr>
                </pic:pic>
              </a:graphicData>
            </a:graphic>
          </wp:inline>
        </w:drawing>
      </w:r>
    </w:p>
    <w:p w14:paraId="1AA2FAA7" w14:textId="77777777" w:rsidR="00EF15CD" w:rsidRPr="00445C2A" w:rsidRDefault="0006410A" w:rsidP="00623386">
      <w:pPr>
        <w:pStyle w:val="Heading1"/>
        <w:rPr>
          <w:b w:val="0"/>
          <w:i/>
          <w:sz w:val="20"/>
          <w:szCs w:val="20"/>
        </w:rPr>
      </w:pPr>
      <w:r w:rsidRPr="00445C2A">
        <w:rPr>
          <w:b w:val="0"/>
          <w:i/>
          <w:sz w:val="20"/>
          <w:szCs w:val="20"/>
        </w:rPr>
        <w:t>Starting point Koltay</w:t>
      </w:r>
      <w:r w:rsidR="00865025" w:rsidRPr="00445C2A">
        <w:rPr>
          <w:b w:val="0"/>
          <w:i/>
          <w:sz w:val="20"/>
          <w:szCs w:val="20"/>
        </w:rPr>
        <w:t xml:space="preserve"> </w:t>
      </w:r>
      <w:r w:rsidR="00172ED2" w:rsidRPr="00445C2A">
        <w:rPr>
          <w:b w:val="0"/>
          <w:noProof/>
          <w:sz w:val="20"/>
          <w:szCs w:val="20"/>
        </w:rPr>
        <w:t>(Koltay, 2015)</w:t>
      </w:r>
      <w:r w:rsidR="00865025" w:rsidRPr="00445C2A">
        <w:rPr>
          <w:b w:val="0"/>
          <w:i/>
          <w:sz w:val="20"/>
          <w:szCs w:val="20"/>
        </w:rPr>
        <w:t xml:space="preserve">: </w:t>
      </w:r>
      <w:r w:rsidR="00EF15CD" w:rsidRPr="00445C2A">
        <w:rPr>
          <w:b w:val="0"/>
          <w:i/>
          <w:sz w:val="20"/>
          <w:szCs w:val="20"/>
        </w:rPr>
        <w:t>Competencies connected to consumption are shown in red, creation shown in purple, common competencies shown in green. Ethical considerations shown in yellow.</w:t>
      </w:r>
    </w:p>
    <w:p w14:paraId="7976938F" w14:textId="77777777" w:rsidR="00623386" w:rsidRDefault="003E0106" w:rsidP="00623386">
      <w:pPr>
        <w:pStyle w:val="Heading1"/>
      </w:pPr>
      <w:r>
        <w:t>Four</w:t>
      </w:r>
      <w:r w:rsidR="003119D2">
        <w:t xml:space="preserve"> c</w:t>
      </w:r>
      <w:r>
        <w:t xml:space="preserve">onceptual </w:t>
      </w:r>
      <w:r w:rsidR="00A45472">
        <w:t>varieties</w:t>
      </w:r>
    </w:p>
    <w:p w14:paraId="5507CC4F" w14:textId="77777777" w:rsidR="00011B67" w:rsidRDefault="003078BD" w:rsidP="00011B67">
      <w:r>
        <w:t>Aside from the commonalities noted above, it is important to also delineate the variety of approaches to data literacy taken by different authors.</w:t>
      </w:r>
      <w:r w:rsidR="003A15C8">
        <w:t xml:space="preserve"> This serves to make clearer the different settings in which the concept is studied and also potential limitations in scope and vision between varieties.</w:t>
      </w:r>
    </w:p>
    <w:p w14:paraId="2735DA2D" w14:textId="77777777" w:rsidR="00011B67" w:rsidRPr="00011B67" w:rsidRDefault="00011B67" w:rsidP="00011B67"/>
    <w:p w14:paraId="57FFC444" w14:textId="77777777" w:rsidR="00B20CD5" w:rsidRDefault="00826B66" w:rsidP="00E02124">
      <w:r>
        <w:t>To investigate the</w:t>
      </w:r>
      <w:r w:rsidR="003078BD">
        <w:t>se</w:t>
      </w:r>
      <w:r>
        <w:t xml:space="preserve"> varying</w:t>
      </w:r>
      <w:r w:rsidR="003078BD">
        <w:t xml:space="preserve"> emphases</w:t>
      </w:r>
      <w:r>
        <w:t xml:space="preserve">, </w:t>
      </w:r>
      <w:r w:rsidR="00445C2A">
        <w:t xml:space="preserve">13 </w:t>
      </w:r>
      <w:r>
        <w:t>so</w:t>
      </w:r>
      <w:r w:rsidR="003341CD">
        <w:t xml:space="preserve">urces dealing directly with </w:t>
      </w:r>
      <w:r w:rsidR="003A15C8">
        <w:t>data literacy</w:t>
      </w:r>
      <w:r w:rsidR="003341CD">
        <w:t xml:space="preserve"> </w:t>
      </w:r>
      <w:r>
        <w:t xml:space="preserve">or seeking to define it were analysed following the document clustering technique described by Rose </w:t>
      </w:r>
      <w:r w:rsidR="00335D52" w:rsidRPr="00335D52">
        <w:rPr>
          <w:noProof/>
        </w:rPr>
        <w:t>(Rose, 2016)</w:t>
      </w:r>
      <w:r w:rsidR="00335D52">
        <w:t>.</w:t>
      </w:r>
      <w:r w:rsidR="00F32D47">
        <w:t xml:space="preserve"> </w:t>
      </w:r>
      <w:r w:rsidR="007138BD">
        <w:t xml:space="preserve"> Sources were selected </w:t>
      </w:r>
      <w:r w:rsidR="00215B73">
        <w:t>using snowball sampling from Koltay</w:t>
      </w:r>
      <w:r w:rsidR="00FD4A38">
        <w:t xml:space="preserve"> </w:t>
      </w:r>
      <w:r w:rsidR="002B1AE9" w:rsidRPr="002B1AE9">
        <w:rPr>
          <w:noProof/>
        </w:rPr>
        <w:t>(2015)</w:t>
      </w:r>
      <w:r w:rsidR="002B1AE9">
        <w:t xml:space="preserve"> and from the </w:t>
      </w:r>
      <w:r w:rsidR="003C0AC3">
        <w:t>School of Data bibliography</w:t>
      </w:r>
      <w:r w:rsidR="003C0AC3">
        <w:rPr>
          <w:rStyle w:val="FootnoteReference"/>
        </w:rPr>
        <w:footnoteReference w:id="1"/>
      </w:r>
      <w:r w:rsidR="00215B73">
        <w:t xml:space="preserve"> </w:t>
      </w:r>
      <w:r w:rsidR="007138BD">
        <w:t xml:space="preserve"> </w:t>
      </w:r>
      <w:r w:rsidR="003C0AC3">
        <w:t xml:space="preserve">and focused on </w:t>
      </w:r>
      <w:r w:rsidR="007138BD">
        <w:t>material written in the last five years</w:t>
      </w:r>
      <w:r w:rsidR="003C0AC3">
        <w:t xml:space="preserve"> which had the term “data literacy” in the title</w:t>
      </w:r>
      <w:r w:rsidR="007138BD">
        <w:t>.</w:t>
      </w:r>
    </w:p>
    <w:p w14:paraId="0A194F54" w14:textId="77777777" w:rsidR="00B20CD5" w:rsidRDefault="00B20CD5" w:rsidP="00E02124"/>
    <w:p w14:paraId="08050F34" w14:textId="77777777" w:rsidR="00D477E7" w:rsidRDefault="00F32D47" w:rsidP="00E02124">
      <w:r>
        <w:t>Text was extracted using pdftotext</w:t>
      </w:r>
      <w:r>
        <w:rPr>
          <w:rStyle w:val="FootnoteReference"/>
        </w:rPr>
        <w:footnoteReference w:id="2"/>
      </w:r>
      <w:r w:rsidR="00335D52">
        <w:t xml:space="preserve"> </w:t>
      </w:r>
      <w:r w:rsidR="003341CD">
        <w:t xml:space="preserve">software </w:t>
      </w:r>
      <w:r>
        <w:t>and headers, foote</w:t>
      </w:r>
      <w:r w:rsidR="00D477E7">
        <w:t xml:space="preserve">rs and references were removed. </w:t>
      </w:r>
      <w:r w:rsidR="00463C34">
        <w:t xml:space="preserve">A </w:t>
      </w:r>
      <w:r w:rsidR="00FF0927">
        <w:t>reference</w:t>
      </w:r>
      <w:r w:rsidR="00463C34">
        <w:t xml:space="preserve"> set of tokens</w:t>
      </w:r>
      <w:r w:rsidR="00FF0927">
        <w:t xml:space="preserve"> across all texts</w:t>
      </w:r>
      <w:r w:rsidR="00463C34">
        <w:t xml:space="preserve"> was constructed resulting in 69,153 items. </w:t>
      </w:r>
      <w:r w:rsidR="00BE2581">
        <w:t xml:space="preserve">A document x term matrix was constructed and tf/idf </w:t>
      </w:r>
      <w:r w:rsidR="00C753C3">
        <w:t>(a measure of the term’s importance within the document</w:t>
      </w:r>
      <w:r w:rsidR="00DE0B6E">
        <w:t xml:space="preserve"> </w:t>
      </w:r>
      <w:r w:rsidR="005C340A">
        <w:t>in proportion</w:t>
      </w:r>
      <w:r w:rsidR="00DE0B6E">
        <w:t xml:space="preserve"> to the set of all documents</w:t>
      </w:r>
      <w:r w:rsidR="00C753C3">
        <w:t xml:space="preserve">) </w:t>
      </w:r>
      <w:r w:rsidR="00BE2581">
        <w:t>calculated for each term</w:t>
      </w:r>
      <w:r w:rsidR="00EF2C7E">
        <w:t>. Then, a K</w:t>
      </w:r>
      <w:r w:rsidR="00C753C3">
        <w:t>-</w:t>
      </w:r>
      <w:r w:rsidR="00EF2C7E">
        <w:t xml:space="preserve">Means cluster </w:t>
      </w:r>
      <w:r w:rsidR="00BD68D6">
        <w:t xml:space="preserve">analysis </w:t>
      </w:r>
      <w:r w:rsidR="00EF2C7E">
        <w:t>with a target of 4</w:t>
      </w:r>
      <w:r w:rsidR="00C753C3">
        <w:t xml:space="preserve"> clusters</w:t>
      </w:r>
      <w:r w:rsidR="00EF2C7E">
        <w:t xml:space="preserve"> was executed</w:t>
      </w:r>
      <w:r w:rsidR="00C9466B">
        <w:t xml:space="preserve"> on this matrix</w:t>
      </w:r>
      <w:r w:rsidR="00866F3D">
        <w:rPr>
          <w:rStyle w:val="FootnoteReference"/>
        </w:rPr>
        <w:footnoteReference w:id="3"/>
      </w:r>
      <w:r w:rsidR="00EF2C7E">
        <w:t>.</w:t>
      </w:r>
      <w:r w:rsidR="00C9466B">
        <w:t xml:space="preserve"> </w:t>
      </w:r>
      <w:r w:rsidR="00C753C3">
        <w:t>Four clusters were suggested by a visual inspection of the documents and by iteration</w:t>
      </w:r>
      <w:r w:rsidR="00DA6F98">
        <w:t xml:space="preserve"> (A greater number of clusters led to </w:t>
      </w:r>
      <w:r w:rsidR="00803B93">
        <w:t>the “Research” cluster being split into very similar/significantly overlapping clusters</w:t>
      </w:r>
      <w:r w:rsidR="00DA6F98">
        <w:t>)</w:t>
      </w:r>
      <w:r w:rsidR="00C753C3">
        <w:t xml:space="preserve">. </w:t>
      </w:r>
      <w:r w:rsidR="00C9466B">
        <w:t>Clustering results are given in Table 1, below, with clus</w:t>
      </w:r>
      <w:r w:rsidR="00866F3D">
        <w:t xml:space="preserve">ter names chosen by the author </w:t>
      </w:r>
      <w:r w:rsidR="00C9466B">
        <w:t>and further elaborated below.</w:t>
      </w:r>
      <w:r w:rsidR="00866F3D">
        <w:t xml:space="preserve"> In Table 2, the top distinctive terms for each cluster are listed in order of </w:t>
      </w:r>
      <w:r w:rsidR="00C753C3">
        <w:t>occurrence</w:t>
      </w:r>
      <w:r w:rsidR="00866F3D">
        <w:t>.</w:t>
      </w:r>
    </w:p>
    <w:p w14:paraId="4524EE85" w14:textId="77777777" w:rsidR="00D477E7" w:rsidRDefault="00D477E7" w:rsidP="00E02124"/>
    <w:p w14:paraId="34DF39BC" w14:textId="77777777" w:rsidR="00335D52" w:rsidRDefault="00335D52" w:rsidP="00E02124"/>
    <w:p w14:paraId="72B6BDD5" w14:textId="77777777" w:rsidR="00335D52" w:rsidRPr="00335D52" w:rsidRDefault="00335D52" w:rsidP="00E02124">
      <w:pPr>
        <w:rPr>
          <w:b/>
        </w:rPr>
      </w:pPr>
      <w:r w:rsidRPr="00335D52">
        <w:rPr>
          <w:b/>
        </w:rPr>
        <w:t>Table 1: Sources used for document clustering</w:t>
      </w:r>
    </w:p>
    <w:tbl>
      <w:tblPr>
        <w:tblStyle w:val="TableGrid"/>
        <w:tblW w:w="0" w:type="auto"/>
        <w:tblLook w:val="04A0" w:firstRow="1" w:lastRow="0" w:firstColumn="1" w:lastColumn="0" w:noHBand="0" w:noVBand="1"/>
      </w:tblPr>
      <w:tblGrid>
        <w:gridCol w:w="6091"/>
        <w:gridCol w:w="2919"/>
      </w:tblGrid>
      <w:tr w:rsidR="00335D52" w14:paraId="2E8C4253" w14:textId="77777777" w:rsidTr="00335D52">
        <w:trPr>
          <w:trHeight w:val="297"/>
        </w:trPr>
        <w:tc>
          <w:tcPr>
            <w:tcW w:w="6091" w:type="dxa"/>
          </w:tcPr>
          <w:p w14:paraId="679D7ABB" w14:textId="77777777" w:rsidR="00335D52" w:rsidRPr="00335D52" w:rsidRDefault="00335D52" w:rsidP="00E02124">
            <w:pPr>
              <w:rPr>
                <w:b/>
              </w:rPr>
            </w:pPr>
            <w:r w:rsidRPr="00335D52">
              <w:rPr>
                <w:b/>
              </w:rPr>
              <w:t>Source</w:t>
            </w:r>
          </w:p>
        </w:tc>
        <w:tc>
          <w:tcPr>
            <w:tcW w:w="2919" w:type="dxa"/>
          </w:tcPr>
          <w:p w14:paraId="1F7A3692" w14:textId="77777777" w:rsidR="00335D52" w:rsidRPr="00335D52" w:rsidRDefault="00335D52" w:rsidP="00E02124">
            <w:pPr>
              <w:rPr>
                <w:b/>
              </w:rPr>
            </w:pPr>
            <w:r w:rsidRPr="00335D52">
              <w:rPr>
                <w:b/>
              </w:rPr>
              <w:t>Main Focus</w:t>
            </w:r>
            <w:r w:rsidR="003E0106">
              <w:rPr>
                <w:b/>
              </w:rPr>
              <w:t xml:space="preserve"> Cluster</w:t>
            </w:r>
          </w:p>
        </w:tc>
      </w:tr>
      <w:tr w:rsidR="00335D52" w14:paraId="511372F6" w14:textId="77777777" w:rsidTr="00335D52">
        <w:tc>
          <w:tcPr>
            <w:tcW w:w="6091" w:type="dxa"/>
          </w:tcPr>
          <w:p w14:paraId="55D94856" w14:textId="77777777" w:rsidR="00335D52" w:rsidRPr="00AA3F2C" w:rsidRDefault="00AA3F2C" w:rsidP="000A0941">
            <w:pPr>
              <w:rPr>
                <w:lang w:val="en-US"/>
              </w:rPr>
            </w:pPr>
            <w:r w:rsidRPr="00AA3F2C">
              <w:rPr>
                <w:lang w:val="en-US"/>
              </w:rPr>
              <w:t xml:space="preserve">Anderson, R., Gummer, E. S., Mandinach, E. B., &amp; Parton, B. M. (2015). Ethical and Appropriate Data Use Requires Data Literacy. </w:t>
            </w:r>
            <w:r w:rsidRPr="00AA3F2C">
              <w:rPr>
                <w:i/>
                <w:iCs/>
                <w:lang w:val="en-US"/>
              </w:rPr>
              <w:t>Phi Delta Kappan</w:t>
            </w:r>
            <w:r w:rsidRPr="00AA3F2C">
              <w:rPr>
                <w:lang w:val="en-US"/>
              </w:rPr>
              <w:t xml:space="preserve">, </w:t>
            </w:r>
            <w:r w:rsidRPr="00AA3F2C">
              <w:rPr>
                <w:i/>
                <w:iCs/>
                <w:lang w:val="en-US"/>
              </w:rPr>
              <w:t>96</w:t>
            </w:r>
            <w:r w:rsidRPr="00AA3F2C">
              <w:rPr>
                <w:lang w:val="en-US"/>
              </w:rPr>
              <w:t>(5), 25–28.</w:t>
            </w:r>
          </w:p>
        </w:tc>
        <w:tc>
          <w:tcPr>
            <w:tcW w:w="2919" w:type="dxa"/>
          </w:tcPr>
          <w:p w14:paraId="0BB8F173" w14:textId="77777777" w:rsidR="00335D52" w:rsidRDefault="003E0106" w:rsidP="003E0106">
            <w:r>
              <w:t>2-</w:t>
            </w:r>
            <w:r w:rsidR="00A96A26">
              <w:t>Classroom</w:t>
            </w:r>
          </w:p>
        </w:tc>
      </w:tr>
      <w:tr w:rsidR="00541F27" w14:paraId="32F574F5" w14:textId="77777777" w:rsidTr="00335D52">
        <w:tc>
          <w:tcPr>
            <w:tcW w:w="6091" w:type="dxa"/>
          </w:tcPr>
          <w:p w14:paraId="722E2B52" w14:textId="77777777" w:rsidR="00541F27" w:rsidRPr="00541F27" w:rsidRDefault="00541F27" w:rsidP="00541F27">
            <w:pPr>
              <w:rPr>
                <w:lang w:val="en-US"/>
              </w:rPr>
            </w:pPr>
            <w:r w:rsidRPr="00541F27">
              <w:rPr>
                <w:lang w:val="en-US"/>
              </w:rPr>
              <w:t xml:space="preserve">Bradshaw, L. (2014). Beyond Data Science: Advancing Data Literacy – Made by Many – Medium. Retrieved September 2, 2016, from </w:t>
            </w:r>
            <w:hyperlink r:id="rId9" w:anchor=".ayhkrcoop" w:history="1">
              <w:r w:rsidRPr="00105989">
                <w:rPr>
                  <w:rStyle w:val="Hyperlink"/>
                  <w:lang w:val="en-US"/>
                </w:rPr>
                <w:t>https://medium.com/the-many/moving-from-data-science-to-data-literacy-a2f181ba4167#.ayhkrcoop</w:t>
              </w:r>
            </w:hyperlink>
            <w:r>
              <w:rPr>
                <w:lang w:val="en-US"/>
              </w:rPr>
              <w:t xml:space="preserve"> </w:t>
            </w:r>
          </w:p>
          <w:p w14:paraId="7040CE77" w14:textId="77777777" w:rsidR="00541F27" w:rsidRPr="00AA3F2C" w:rsidRDefault="00541F27" w:rsidP="000A0941">
            <w:pPr>
              <w:rPr>
                <w:lang w:val="en-US"/>
              </w:rPr>
            </w:pPr>
          </w:p>
        </w:tc>
        <w:tc>
          <w:tcPr>
            <w:tcW w:w="2919" w:type="dxa"/>
          </w:tcPr>
          <w:p w14:paraId="013D97CE" w14:textId="77777777" w:rsidR="00541F27" w:rsidRDefault="003E0106" w:rsidP="00E02124">
            <w:r>
              <w:t>4-</w:t>
            </w:r>
            <w:r w:rsidR="00A96A26">
              <w:t>Inclusion</w:t>
            </w:r>
          </w:p>
        </w:tc>
      </w:tr>
      <w:tr w:rsidR="00335D52" w14:paraId="3D700EFE" w14:textId="77777777" w:rsidTr="00335D52">
        <w:tc>
          <w:tcPr>
            <w:tcW w:w="6091" w:type="dxa"/>
          </w:tcPr>
          <w:p w14:paraId="0D949A8C" w14:textId="77777777" w:rsidR="00335D52" w:rsidRPr="00AA3F2C" w:rsidRDefault="00AA3F2C" w:rsidP="000A0941">
            <w:pPr>
              <w:rPr>
                <w:lang w:val="en-US"/>
              </w:rPr>
            </w:pPr>
            <w:r w:rsidRPr="00AA3F2C">
              <w:rPr>
                <w:lang w:val="en-US"/>
              </w:rPr>
              <w:t xml:space="preserve">Carlson, J., Fosmire, M., Miller, C. C., &amp; Nelson, M. S. (2011). Determining Data Information Literacy Needs: A Study of Students and Research Faculty. </w:t>
            </w:r>
            <w:r w:rsidRPr="00AA3F2C">
              <w:rPr>
                <w:i/>
                <w:iCs/>
                <w:lang w:val="en-US"/>
              </w:rPr>
              <w:t>Portal: Libraries and the Academy</w:t>
            </w:r>
            <w:r w:rsidRPr="00AA3F2C">
              <w:rPr>
                <w:lang w:val="en-US"/>
              </w:rPr>
              <w:t xml:space="preserve">, </w:t>
            </w:r>
            <w:r w:rsidRPr="00AA3F2C">
              <w:rPr>
                <w:i/>
                <w:iCs/>
                <w:lang w:val="en-US"/>
              </w:rPr>
              <w:t>11</w:t>
            </w:r>
            <w:r w:rsidRPr="00AA3F2C">
              <w:rPr>
                <w:lang w:val="en-US"/>
              </w:rPr>
              <w:t xml:space="preserve">(2), 629–657. </w:t>
            </w:r>
          </w:p>
        </w:tc>
        <w:tc>
          <w:tcPr>
            <w:tcW w:w="2919" w:type="dxa"/>
          </w:tcPr>
          <w:p w14:paraId="18F9AD0A" w14:textId="77777777" w:rsidR="00335D52" w:rsidRDefault="003E0106" w:rsidP="003E0106">
            <w:r>
              <w:t>1-</w:t>
            </w:r>
            <w:r w:rsidR="00A96A26">
              <w:t>Research</w:t>
            </w:r>
          </w:p>
        </w:tc>
      </w:tr>
      <w:tr w:rsidR="00335D52" w14:paraId="1CE2D7E4" w14:textId="77777777" w:rsidTr="00335D52">
        <w:tc>
          <w:tcPr>
            <w:tcW w:w="6091" w:type="dxa"/>
          </w:tcPr>
          <w:p w14:paraId="0EFC0ADE" w14:textId="77777777" w:rsidR="00335D52" w:rsidRPr="00AA3F2C" w:rsidRDefault="00AA3F2C" w:rsidP="00E02124">
            <w:pPr>
              <w:rPr>
                <w:lang w:val="en-US"/>
              </w:rPr>
            </w:pPr>
            <w:r w:rsidRPr="00AA3F2C">
              <w:rPr>
                <w:lang w:val="en-US"/>
              </w:rPr>
              <w:t xml:space="preserve">Data-Pop Alliance. (2015). </w:t>
            </w:r>
            <w:r w:rsidRPr="00AA3F2C">
              <w:rPr>
                <w:i/>
                <w:iCs/>
                <w:lang w:val="en-US"/>
              </w:rPr>
              <w:t>Beyond Data Literacy: Reinventing Community Engagement and Empowerment in the Age of Data</w:t>
            </w:r>
            <w:r w:rsidRPr="00AA3F2C">
              <w:rPr>
                <w:lang w:val="en-US"/>
              </w:rPr>
              <w:t>.</w:t>
            </w:r>
          </w:p>
        </w:tc>
        <w:tc>
          <w:tcPr>
            <w:tcW w:w="2919" w:type="dxa"/>
          </w:tcPr>
          <w:p w14:paraId="7639A7AF" w14:textId="77777777" w:rsidR="00335D52" w:rsidRDefault="003E0106" w:rsidP="00E02124">
            <w:r>
              <w:t>4-</w:t>
            </w:r>
            <w:r w:rsidR="00A96A26">
              <w:t>Inclusion</w:t>
            </w:r>
          </w:p>
        </w:tc>
      </w:tr>
      <w:tr w:rsidR="00335D52" w14:paraId="445CB280" w14:textId="77777777" w:rsidTr="00335D52">
        <w:tc>
          <w:tcPr>
            <w:tcW w:w="6091" w:type="dxa"/>
          </w:tcPr>
          <w:p w14:paraId="45810E49" w14:textId="77777777" w:rsidR="00335D52" w:rsidRPr="000A0941" w:rsidRDefault="000A0941" w:rsidP="000A0941">
            <w:pPr>
              <w:rPr>
                <w:lang w:val="en-US"/>
              </w:rPr>
            </w:pPr>
            <w:r w:rsidRPr="000A0941">
              <w:rPr>
                <w:lang w:val="en-US"/>
              </w:rPr>
              <w:t xml:space="preserve">Erwin, R. (2015). Data Literacy: Real-World Learning Through Problem-Solving With Data Sets. </w:t>
            </w:r>
            <w:r w:rsidRPr="000A0941">
              <w:rPr>
                <w:i/>
                <w:iCs/>
                <w:lang w:val="en-US"/>
              </w:rPr>
              <w:t>American Secondary Education</w:t>
            </w:r>
            <w:r w:rsidRPr="000A0941">
              <w:rPr>
                <w:lang w:val="en-US"/>
              </w:rPr>
              <w:t xml:space="preserve">, </w:t>
            </w:r>
            <w:r w:rsidRPr="000A0941">
              <w:rPr>
                <w:i/>
                <w:iCs/>
                <w:lang w:val="en-US"/>
              </w:rPr>
              <w:t>43</w:t>
            </w:r>
            <w:r w:rsidRPr="000A0941">
              <w:rPr>
                <w:lang w:val="en-US"/>
              </w:rPr>
              <w:t xml:space="preserve">(2), 18–26. </w:t>
            </w:r>
          </w:p>
        </w:tc>
        <w:tc>
          <w:tcPr>
            <w:tcW w:w="2919" w:type="dxa"/>
          </w:tcPr>
          <w:p w14:paraId="030DD2CD" w14:textId="77777777" w:rsidR="00335D52" w:rsidRDefault="003E0106" w:rsidP="00E02124">
            <w:r>
              <w:t>1-</w:t>
            </w:r>
            <w:r w:rsidR="00A96A26">
              <w:t>Research</w:t>
            </w:r>
          </w:p>
        </w:tc>
      </w:tr>
      <w:tr w:rsidR="00335D52" w14:paraId="6127B050" w14:textId="77777777" w:rsidTr="000A0941">
        <w:trPr>
          <w:trHeight w:val="297"/>
        </w:trPr>
        <w:tc>
          <w:tcPr>
            <w:tcW w:w="6091" w:type="dxa"/>
          </w:tcPr>
          <w:p w14:paraId="3338C2E7" w14:textId="77777777" w:rsidR="00335D52" w:rsidRDefault="000A0941" w:rsidP="000A0941">
            <w:r w:rsidRPr="000A0941">
              <w:rPr>
                <w:lang w:val="en-US"/>
              </w:rPr>
              <w:t xml:space="preserve">Federer, L. M., Lu, Y.-L., &amp; Joubert, D. J. (2016). Data literacy training needs of biomedical researchers. </w:t>
            </w:r>
            <w:r w:rsidRPr="000A0941">
              <w:rPr>
                <w:i/>
                <w:iCs/>
                <w:lang w:val="en-US"/>
              </w:rPr>
              <w:t>Journal of the Medical Library Association</w:t>
            </w:r>
            <w:r w:rsidRPr="000A0941">
              <w:rPr>
                <w:rFonts w:ascii="Calibri" w:eastAsia="Calibri" w:hAnsi="Calibri" w:cs="Calibri"/>
                <w:i/>
                <w:iCs/>
                <w:lang w:val="en-US"/>
              </w:rPr>
              <w:t> </w:t>
            </w:r>
            <w:r w:rsidRPr="000A0941">
              <w:rPr>
                <w:i/>
                <w:iCs/>
                <w:lang w:val="en-US"/>
              </w:rPr>
              <w:t>: JMLA</w:t>
            </w:r>
            <w:r w:rsidRPr="000A0941">
              <w:rPr>
                <w:lang w:val="en-US"/>
              </w:rPr>
              <w:t xml:space="preserve">, </w:t>
            </w:r>
            <w:r w:rsidRPr="000A0941">
              <w:rPr>
                <w:i/>
                <w:iCs/>
                <w:lang w:val="en-US"/>
              </w:rPr>
              <w:t>104</w:t>
            </w:r>
            <w:r w:rsidRPr="000A0941">
              <w:rPr>
                <w:lang w:val="en-US"/>
              </w:rPr>
              <w:t xml:space="preserve">(1), 52–7. </w:t>
            </w:r>
          </w:p>
        </w:tc>
        <w:tc>
          <w:tcPr>
            <w:tcW w:w="2919" w:type="dxa"/>
          </w:tcPr>
          <w:p w14:paraId="2399DFB4" w14:textId="77777777" w:rsidR="00335D52" w:rsidRDefault="003E0106" w:rsidP="00E02124">
            <w:r>
              <w:t>1-</w:t>
            </w:r>
            <w:r w:rsidR="00A96A26">
              <w:t>Research</w:t>
            </w:r>
          </w:p>
        </w:tc>
      </w:tr>
      <w:tr w:rsidR="00335D52" w14:paraId="2D1CFC27" w14:textId="77777777" w:rsidTr="00335D52">
        <w:tc>
          <w:tcPr>
            <w:tcW w:w="6091" w:type="dxa"/>
          </w:tcPr>
          <w:p w14:paraId="4AA3E88B" w14:textId="77777777" w:rsidR="00335D52" w:rsidRPr="000A0941" w:rsidRDefault="000A0941" w:rsidP="00E02124">
            <w:pPr>
              <w:rPr>
                <w:lang w:val="en-US"/>
              </w:rPr>
            </w:pPr>
            <w:r w:rsidRPr="000A0941">
              <w:rPr>
                <w:lang w:val="en-US"/>
              </w:rPr>
              <w:t xml:space="preserve">Fonticiaro, K., &amp; Oehrli, J. A. (2016). Why data literacy matters. </w:t>
            </w:r>
            <w:r w:rsidRPr="000A0941">
              <w:rPr>
                <w:i/>
                <w:iCs/>
                <w:lang w:val="en-US"/>
              </w:rPr>
              <w:t>ALA Knowldege Quest</w:t>
            </w:r>
            <w:r w:rsidRPr="000A0941">
              <w:rPr>
                <w:lang w:val="en-US"/>
              </w:rPr>
              <w:t xml:space="preserve">, </w:t>
            </w:r>
            <w:r w:rsidRPr="000A0941">
              <w:rPr>
                <w:i/>
                <w:iCs/>
                <w:lang w:val="en-US"/>
              </w:rPr>
              <w:t>44</w:t>
            </w:r>
            <w:r w:rsidRPr="000A0941">
              <w:rPr>
                <w:lang w:val="en-US"/>
              </w:rPr>
              <w:t>(5), 20–28.</w:t>
            </w:r>
          </w:p>
        </w:tc>
        <w:tc>
          <w:tcPr>
            <w:tcW w:w="2919" w:type="dxa"/>
          </w:tcPr>
          <w:p w14:paraId="0D1D0387" w14:textId="77777777" w:rsidR="00335D52" w:rsidRDefault="003E0106" w:rsidP="00E02124">
            <w:r>
              <w:t>1-</w:t>
            </w:r>
            <w:r w:rsidR="00A96A26">
              <w:t>Research</w:t>
            </w:r>
          </w:p>
        </w:tc>
      </w:tr>
      <w:tr w:rsidR="00335D52" w14:paraId="106A15DB" w14:textId="77777777" w:rsidTr="00541F27">
        <w:trPr>
          <w:trHeight w:val="1122"/>
        </w:trPr>
        <w:tc>
          <w:tcPr>
            <w:tcW w:w="6091" w:type="dxa"/>
          </w:tcPr>
          <w:p w14:paraId="4C024127" w14:textId="77777777" w:rsidR="00335D52" w:rsidRPr="008B77A0" w:rsidRDefault="000A0941" w:rsidP="00E02124">
            <w:pPr>
              <w:rPr>
                <w:lang w:val="en-US"/>
              </w:rPr>
            </w:pPr>
            <w:r w:rsidRPr="000A0941">
              <w:rPr>
                <w:lang w:val="en-US"/>
              </w:rPr>
              <w:t xml:space="preserve">Koltay, T. (2015). Data literacy: in search of a name and identity. </w:t>
            </w:r>
            <w:r w:rsidRPr="000A0941">
              <w:rPr>
                <w:i/>
                <w:iCs/>
                <w:lang w:val="en-US"/>
              </w:rPr>
              <w:t>Journal of Documentation</w:t>
            </w:r>
            <w:r w:rsidRPr="000A0941">
              <w:rPr>
                <w:lang w:val="en-US"/>
              </w:rPr>
              <w:t xml:space="preserve">, </w:t>
            </w:r>
            <w:r w:rsidRPr="000A0941">
              <w:rPr>
                <w:i/>
                <w:iCs/>
                <w:lang w:val="en-US"/>
              </w:rPr>
              <w:t>71</w:t>
            </w:r>
            <w:r w:rsidRPr="000A0941">
              <w:rPr>
                <w:lang w:val="en-US"/>
              </w:rPr>
              <w:t xml:space="preserve">(2), 401–415. </w:t>
            </w:r>
          </w:p>
        </w:tc>
        <w:tc>
          <w:tcPr>
            <w:tcW w:w="2919" w:type="dxa"/>
          </w:tcPr>
          <w:p w14:paraId="0D8A5EF8" w14:textId="77777777" w:rsidR="00335D52" w:rsidRDefault="003E0106" w:rsidP="00E02124">
            <w:r>
              <w:t>1-</w:t>
            </w:r>
            <w:r w:rsidR="00A96A26">
              <w:t>Research</w:t>
            </w:r>
          </w:p>
        </w:tc>
      </w:tr>
      <w:tr w:rsidR="00541F27" w14:paraId="691BCEED" w14:textId="77777777" w:rsidTr="00541F27">
        <w:trPr>
          <w:trHeight w:val="1122"/>
        </w:trPr>
        <w:tc>
          <w:tcPr>
            <w:tcW w:w="6091" w:type="dxa"/>
          </w:tcPr>
          <w:p w14:paraId="50D52A28" w14:textId="77777777" w:rsidR="00541F27" w:rsidRPr="000A0941" w:rsidRDefault="00541F27" w:rsidP="00541F27">
            <w:pPr>
              <w:rPr>
                <w:lang w:val="en-US"/>
              </w:rPr>
            </w:pPr>
            <w:r w:rsidRPr="00541F27">
              <w:rPr>
                <w:lang w:val="en-US"/>
              </w:rPr>
              <w:t xml:space="preserve">Mandinach, E. B., &amp; Gummer, E. S. (2013). A Systemic View of Implementing Data Literacy in Educator Preparation. </w:t>
            </w:r>
            <w:r w:rsidRPr="00541F27">
              <w:rPr>
                <w:i/>
                <w:iCs/>
                <w:lang w:val="en-US"/>
              </w:rPr>
              <w:t>Educational Researcher</w:t>
            </w:r>
            <w:r w:rsidRPr="00541F27">
              <w:rPr>
                <w:lang w:val="en-US"/>
              </w:rPr>
              <w:t xml:space="preserve">, </w:t>
            </w:r>
            <w:r w:rsidRPr="00541F27">
              <w:rPr>
                <w:i/>
                <w:iCs/>
                <w:lang w:val="en-US"/>
              </w:rPr>
              <w:t>42</w:t>
            </w:r>
            <w:r w:rsidRPr="00541F27">
              <w:rPr>
                <w:lang w:val="en-US"/>
              </w:rPr>
              <w:t xml:space="preserve">(1), 30–37. </w:t>
            </w:r>
          </w:p>
        </w:tc>
        <w:tc>
          <w:tcPr>
            <w:tcW w:w="2919" w:type="dxa"/>
          </w:tcPr>
          <w:p w14:paraId="1CBF11D5" w14:textId="77777777" w:rsidR="00541F27" w:rsidRDefault="003E0106" w:rsidP="00E02124">
            <w:r>
              <w:t>2-</w:t>
            </w:r>
            <w:r w:rsidR="00A96A26">
              <w:t>Classroom</w:t>
            </w:r>
          </w:p>
        </w:tc>
      </w:tr>
      <w:tr w:rsidR="000A0941" w14:paraId="6BB52757" w14:textId="77777777" w:rsidTr="00541F27">
        <w:trPr>
          <w:trHeight w:val="856"/>
        </w:trPr>
        <w:tc>
          <w:tcPr>
            <w:tcW w:w="6091" w:type="dxa"/>
          </w:tcPr>
          <w:p w14:paraId="6ADE3CED" w14:textId="77777777" w:rsidR="000A0941" w:rsidRPr="000A0941" w:rsidRDefault="00541F27" w:rsidP="008B77A0">
            <w:pPr>
              <w:rPr>
                <w:lang w:val="en-US"/>
              </w:rPr>
            </w:pPr>
            <w:r w:rsidRPr="00541F27">
              <w:rPr>
                <w:lang w:val="en-US"/>
              </w:rPr>
              <w:t xml:space="preserve">Martin, E. (2014). What Is Data Literacy? </w:t>
            </w:r>
            <w:r w:rsidRPr="00541F27">
              <w:rPr>
                <w:i/>
                <w:iCs/>
                <w:lang w:val="en-US"/>
              </w:rPr>
              <w:t>Journal of eScience Librarianship</w:t>
            </w:r>
            <w:r w:rsidRPr="00541F27">
              <w:rPr>
                <w:lang w:val="en-US"/>
              </w:rPr>
              <w:t xml:space="preserve">, </w:t>
            </w:r>
            <w:r w:rsidRPr="00541F27">
              <w:rPr>
                <w:i/>
                <w:iCs/>
                <w:lang w:val="en-US"/>
              </w:rPr>
              <w:t>3</w:t>
            </w:r>
            <w:r w:rsidRPr="00541F27">
              <w:rPr>
                <w:lang w:val="en-US"/>
              </w:rPr>
              <w:t xml:space="preserve">(1), 1–2. </w:t>
            </w:r>
          </w:p>
        </w:tc>
        <w:tc>
          <w:tcPr>
            <w:tcW w:w="2919" w:type="dxa"/>
          </w:tcPr>
          <w:p w14:paraId="6AD44057" w14:textId="77777777" w:rsidR="000A0941" w:rsidRDefault="003E0106" w:rsidP="00E02124">
            <w:r>
              <w:t>1-</w:t>
            </w:r>
            <w:r w:rsidR="00A96A26">
              <w:t>Research</w:t>
            </w:r>
          </w:p>
        </w:tc>
      </w:tr>
      <w:tr w:rsidR="00541F27" w14:paraId="11F7960D" w14:textId="77777777" w:rsidTr="00335D52">
        <w:tc>
          <w:tcPr>
            <w:tcW w:w="6091" w:type="dxa"/>
          </w:tcPr>
          <w:p w14:paraId="1FB31770" w14:textId="77777777" w:rsidR="00541F27" w:rsidRPr="00541F27" w:rsidRDefault="00541F27" w:rsidP="00541F27">
            <w:pPr>
              <w:rPr>
                <w:lang w:val="en-US"/>
              </w:rPr>
            </w:pPr>
            <w:r w:rsidRPr="00541F27">
              <w:rPr>
                <w:lang w:val="en-US"/>
              </w:rPr>
              <w:t xml:space="preserve">Slater, D. (2016). Research Results Part 1: Defining Data Literacy. Retrieved September 2, 2016, from </w:t>
            </w:r>
            <w:hyperlink r:id="rId10" w:history="1">
              <w:r w:rsidRPr="00105989">
                <w:rPr>
                  <w:rStyle w:val="Hyperlink"/>
                  <w:lang w:val="en-US"/>
                </w:rPr>
                <w:t>http://schoolofdata.org/2016/01/08/research-results-part-1-defining-data-literacy/</w:t>
              </w:r>
            </w:hyperlink>
            <w:r>
              <w:rPr>
                <w:lang w:val="en-US"/>
              </w:rPr>
              <w:t xml:space="preserve"> </w:t>
            </w:r>
          </w:p>
          <w:p w14:paraId="3496EDA5" w14:textId="77777777" w:rsidR="00541F27" w:rsidRPr="00541F27" w:rsidRDefault="00541F27" w:rsidP="000A0941">
            <w:pPr>
              <w:rPr>
                <w:lang w:val="en-US"/>
              </w:rPr>
            </w:pPr>
          </w:p>
        </w:tc>
        <w:tc>
          <w:tcPr>
            <w:tcW w:w="2919" w:type="dxa"/>
          </w:tcPr>
          <w:p w14:paraId="1D279122" w14:textId="77777777" w:rsidR="00541F27" w:rsidRDefault="003E0106" w:rsidP="00E02124">
            <w:r>
              <w:t>4-</w:t>
            </w:r>
            <w:r w:rsidR="00A96A26">
              <w:t>Inclusion</w:t>
            </w:r>
          </w:p>
        </w:tc>
      </w:tr>
      <w:tr w:rsidR="00541F27" w14:paraId="5A8359D5" w14:textId="77777777" w:rsidTr="00541F27">
        <w:trPr>
          <w:trHeight w:val="241"/>
        </w:trPr>
        <w:tc>
          <w:tcPr>
            <w:tcW w:w="6091" w:type="dxa"/>
          </w:tcPr>
          <w:p w14:paraId="62443C40" w14:textId="77777777" w:rsidR="00541F27" w:rsidRPr="00541F27" w:rsidRDefault="00541F27" w:rsidP="00541F27">
            <w:pPr>
              <w:rPr>
                <w:lang w:val="en-US"/>
              </w:rPr>
            </w:pPr>
            <w:r w:rsidRPr="00541F27">
              <w:rPr>
                <w:lang w:val="en-US"/>
              </w:rPr>
              <w:t xml:space="preserve">Teal, T. K., Cranston, K. A., Lapp, H., White, E. P., Wilson, G., Ram, K., &amp; Pawlik, A. (2015). Data Carpentry: Workshops to Increase Data Literacy for Researchers. </w:t>
            </w:r>
            <w:r w:rsidRPr="00541F27">
              <w:rPr>
                <w:i/>
                <w:iCs/>
                <w:lang w:val="en-US"/>
              </w:rPr>
              <w:t>International Journal of Digital Curation</w:t>
            </w:r>
            <w:r w:rsidRPr="00541F27">
              <w:rPr>
                <w:lang w:val="en-US"/>
              </w:rPr>
              <w:t xml:space="preserve">, </w:t>
            </w:r>
            <w:r w:rsidRPr="00541F27">
              <w:rPr>
                <w:i/>
                <w:iCs/>
                <w:lang w:val="en-US"/>
              </w:rPr>
              <w:t>10</w:t>
            </w:r>
            <w:r w:rsidRPr="00541F27">
              <w:rPr>
                <w:lang w:val="en-US"/>
              </w:rPr>
              <w:t xml:space="preserve">, 135–143. </w:t>
            </w:r>
          </w:p>
          <w:p w14:paraId="6EC840AF" w14:textId="77777777" w:rsidR="00541F27" w:rsidRPr="00541F27" w:rsidRDefault="00541F27" w:rsidP="000A0941">
            <w:pPr>
              <w:rPr>
                <w:lang w:val="en-US"/>
              </w:rPr>
            </w:pPr>
          </w:p>
        </w:tc>
        <w:tc>
          <w:tcPr>
            <w:tcW w:w="2919" w:type="dxa"/>
          </w:tcPr>
          <w:p w14:paraId="136666D3" w14:textId="77777777" w:rsidR="00541F27" w:rsidRDefault="003E0106" w:rsidP="00E02124">
            <w:r>
              <w:t>3-</w:t>
            </w:r>
            <w:r w:rsidR="00A96A26">
              <w:t>Carpentry</w:t>
            </w:r>
          </w:p>
        </w:tc>
      </w:tr>
    </w:tbl>
    <w:p w14:paraId="7C1A2E85" w14:textId="77777777" w:rsidR="00335D52" w:rsidRPr="00E02124" w:rsidRDefault="00335D52" w:rsidP="00E02124"/>
    <w:p w14:paraId="1377A4F9" w14:textId="77777777" w:rsidR="00623386" w:rsidRDefault="00623386" w:rsidP="00623386"/>
    <w:p w14:paraId="70009349" w14:textId="77777777" w:rsidR="00623386" w:rsidRDefault="00ED3FBD" w:rsidP="003E0106">
      <w:pPr>
        <w:pStyle w:val="Heading2"/>
        <w:numPr>
          <w:ilvl w:val="0"/>
          <w:numId w:val="2"/>
        </w:numPr>
      </w:pPr>
      <w:r>
        <w:t>A research focus</w:t>
      </w:r>
    </w:p>
    <w:p w14:paraId="611F4583" w14:textId="77777777" w:rsidR="009155BE" w:rsidRDefault="009155BE" w:rsidP="00F82E8F"/>
    <w:p w14:paraId="07BAA54F" w14:textId="77777777" w:rsidR="00A45472" w:rsidRDefault="005D3F14" w:rsidP="00F82E8F">
      <w:r>
        <w:t xml:space="preserve">This cluster includes the most common approaches to data literacy, with an emphasis on a further education setting and on librarians as stewards of data and advocates of good data management practice </w:t>
      </w:r>
      <w:r w:rsidR="0008230B" w:rsidRPr="0008230B">
        <w:rPr>
          <w:noProof/>
        </w:rPr>
        <w:t>(e.g. Fonticiaro &amp; Oehrli, 2016)</w:t>
      </w:r>
      <w:r>
        <w:t xml:space="preserve">. </w:t>
      </w:r>
      <w:r w:rsidR="0057716F">
        <w:t xml:space="preserve">Data skills are seen as one part of wider information literacy abilities, or even merged into a wider </w:t>
      </w:r>
      <w:r w:rsidR="0057716F" w:rsidRPr="005C6F07">
        <w:rPr>
          <w:i/>
        </w:rPr>
        <w:t>data information literacy</w:t>
      </w:r>
      <w:r w:rsidR="0057716F">
        <w:t>:</w:t>
      </w:r>
    </w:p>
    <w:p w14:paraId="1E647EB3" w14:textId="77777777" w:rsidR="0057716F" w:rsidRDefault="0057716F" w:rsidP="00F82E8F"/>
    <w:p w14:paraId="105D58F2" w14:textId="77777777" w:rsidR="0057716F" w:rsidRDefault="0057716F" w:rsidP="0057716F">
      <w:pPr>
        <w:ind w:left="720"/>
      </w:pPr>
      <w:r>
        <w:t>“Data information literacy ... merges the concepts of researcher-as-producer and researcher-as-consumer of data products. As such it builds upon and reintegrates data, statistical, information and science data literacy into an emerging skill set.”</w:t>
      </w:r>
    </w:p>
    <w:p w14:paraId="6829ED11" w14:textId="77777777" w:rsidR="0057716F" w:rsidRDefault="0057716F" w:rsidP="0057716F">
      <w:pPr>
        <w:ind w:left="720"/>
      </w:pPr>
      <w:r w:rsidRPr="007E7500">
        <w:rPr>
          <w:noProof/>
        </w:rPr>
        <w:t>(Carlson et al., 2011, p. 6)</w:t>
      </w:r>
    </w:p>
    <w:p w14:paraId="2B788503" w14:textId="77777777" w:rsidR="00A45472" w:rsidRDefault="00A45472" w:rsidP="00F82E8F"/>
    <w:p w14:paraId="499383C7" w14:textId="77777777" w:rsidR="00F82E8F" w:rsidRDefault="009155BE" w:rsidP="00F82E8F">
      <w:r>
        <w:t xml:space="preserve">In the academic research community, data is seen as a key asset, being both a product of a research project or programme and a source for new investigative efforts. A distinctive research view of data literacy focuses </w:t>
      </w:r>
      <w:r w:rsidR="00586B59">
        <w:t>also</w:t>
      </w:r>
      <w:r>
        <w:t xml:space="preserve"> on the processes for storing and sharing data, alongside the application of metadata for discovery and potential reuse</w:t>
      </w:r>
      <w:r w:rsidR="0057716F">
        <w:t xml:space="preserve"> </w:t>
      </w:r>
      <w:r w:rsidR="008C30B5" w:rsidRPr="008C30B5">
        <w:rPr>
          <w:noProof/>
        </w:rPr>
        <w:t>(e.g. Federer et al., 2016)</w:t>
      </w:r>
      <w:r>
        <w:t xml:space="preserve">. </w:t>
      </w:r>
    </w:p>
    <w:p w14:paraId="3B335245" w14:textId="77777777" w:rsidR="00A45472" w:rsidRDefault="00A45472" w:rsidP="00F82E8F"/>
    <w:p w14:paraId="3AE7E6E6" w14:textId="77777777" w:rsidR="00A45472" w:rsidRDefault="00A45472" w:rsidP="00F82E8F"/>
    <w:p w14:paraId="6D91EA7B" w14:textId="77777777" w:rsidR="009155BE" w:rsidRPr="00F82E8F" w:rsidRDefault="009155BE" w:rsidP="00F82E8F"/>
    <w:p w14:paraId="11DD643A" w14:textId="77777777" w:rsidR="00623386" w:rsidRDefault="00335D52" w:rsidP="003E0106">
      <w:pPr>
        <w:pStyle w:val="Heading2"/>
        <w:numPr>
          <w:ilvl w:val="0"/>
          <w:numId w:val="2"/>
        </w:numPr>
      </w:pPr>
      <w:r>
        <w:t>A classroom</w:t>
      </w:r>
      <w:r w:rsidR="00ED3FBD">
        <w:t xml:space="preserve"> focus</w:t>
      </w:r>
    </w:p>
    <w:p w14:paraId="755ABC24" w14:textId="77777777" w:rsidR="009155BE" w:rsidRDefault="009155BE" w:rsidP="009155BE"/>
    <w:p w14:paraId="34F09E53" w14:textId="77777777" w:rsidR="009155BE" w:rsidRPr="009155BE" w:rsidRDefault="009155BE" w:rsidP="009155BE">
      <w:r>
        <w:t>Within secondary education, data literacy is promoted as a means for students to become familiar with data manipulation in problem-based learning</w:t>
      </w:r>
      <w:r w:rsidR="002E36FD">
        <w:t xml:space="preserve"> </w:t>
      </w:r>
      <w:r w:rsidR="002E36FD" w:rsidRPr="002E36FD">
        <w:rPr>
          <w:noProof/>
        </w:rPr>
        <w:t>(Erwin, 2015)</w:t>
      </w:r>
      <w:r>
        <w:t xml:space="preserve">. The core </w:t>
      </w:r>
      <w:r w:rsidR="003341CD">
        <w:t>learning objectives</w:t>
      </w:r>
      <w:r>
        <w:t xml:space="preserve"> here are question-asking, evidence </w:t>
      </w:r>
      <w:r w:rsidR="003341CD">
        <w:t xml:space="preserve">gathering </w:t>
      </w:r>
      <w:r>
        <w:t xml:space="preserve">and performing relatively simple analysis and visualisation. </w:t>
      </w:r>
    </w:p>
    <w:p w14:paraId="0DF6A9B3" w14:textId="77777777" w:rsidR="00623386" w:rsidRDefault="00CD62D6" w:rsidP="00CD62D6">
      <w:pPr>
        <w:ind w:left="720"/>
      </w:pPr>
      <w:r>
        <w:t>“</w:t>
      </w:r>
      <w:r w:rsidR="002E7D9D" w:rsidRPr="002E7D9D">
        <w:t>participating students demonstrated a satisfactory grasp of fundamental concepts of the scientific research process, the process or organizing and cleaning the data, the use of descriptive statistics to better understand t</w:t>
      </w:r>
      <w:r w:rsidR="007008F3">
        <w:t>he data, and the use of spread-</w:t>
      </w:r>
      <w:r w:rsidR="002E7D9D" w:rsidRPr="002E7D9D">
        <w:t>sheet software to efficiently and accurately generate statistical analyses.</w:t>
      </w:r>
      <w:r>
        <w:t>”</w:t>
      </w:r>
    </w:p>
    <w:p w14:paraId="4AD8FFCF" w14:textId="77777777" w:rsidR="00084E15" w:rsidRDefault="00233165" w:rsidP="00CD62D6">
      <w:pPr>
        <w:ind w:left="720"/>
      </w:pPr>
      <w:r w:rsidRPr="00233165">
        <w:rPr>
          <w:noProof/>
        </w:rPr>
        <w:t>(Erwin, 2015, p. 20)</w:t>
      </w:r>
      <w:r>
        <w:t xml:space="preserve"> </w:t>
      </w:r>
    </w:p>
    <w:p w14:paraId="01DA827E" w14:textId="77777777" w:rsidR="009155BE" w:rsidRDefault="009155BE" w:rsidP="009155BE">
      <w:r>
        <w:t>The hope for data literacy within early education is that it will instil enthusiasm for evidence-based decision making and engagement with data co</w:t>
      </w:r>
      <w:r w:rsidR="002E36FD">
        <w:t>nnected to real-world problems. The outcomes, then, are seen to be as much to do with an appreciation of societal challenges as a set of data manipulation competencies.</w:t>
      </w:r>
    </w:p>
    <w:p w14:paraId="36CCCA88" w14:textId="77777777" w:rsidR="009155BE" w:rsidRDefault="009155BE" w:rsidP="00CD62D6">
      <w:pPr>
        <w:ind w:left="720"/>
      </w:pPr>
    </w:p>
    <w:p w14:paraId="69828412" w14:textId="77777777" w:rsidR="00623386" w:rsidRDefault="00ED3FBD" w:rsidP="003E0106">
      <w:pPr>
        <w:pStyle w:val="Heading2"/>
        <w:numPr>
          <w:ilvl w:val="0"/>
          <w:numId w:val="2"/>
        </w:numPr>
      </w:pPr>
      <w:r>
        <w:t>A</w:t>
      </w:r>
      <w:r w:rsidR="00623386">
        <w:t xml:space="preserve"> </w:t>
      </w:r>
      <w:r w:rsidR="00FA7C37">
        <w:t>“</w:t>
      </w:r>
      <w:r w:rsidR="00623386">
        <w:t>carpentry</w:t>
      </w:r>
      <w:r w:rsidR="00FA7C37">
        <w:t>”</w:t>
      </w:r>
      <w:r w:rsidR="00623386">
        <w:t xml:space="preserve"> </w:t>
      </w:r>
      <w:r>
        <w:t>focus</w:t>
      </w:r>
    </w:p>
    <w:p w14:paraId="4F118E04" w14:textId="77777777" w:rsidR="009155BE" w:rsidRDefault="009155BE" w:rsidP="009155BE"/>
    <w:p w14:paraId="6F82035F" w14:textId="77777777" w:rsidR="009155BE" w:rsidRPr="009155BE" w:rsidRDefault="009155BE" w:rsidP="009155BE">
      <w:r>
        <w:t xml:space="preserve">Data carpentry focuses very much on the practical means </w:t>
      </w:r>
      <w:r w:rsidR="007E5F3F">
        <w:t xml:space="preserve">toward developing data analysis capacity, with hands-on engagement with relevant datasets being the core activity. Perhaps most importantly, the focus is on data relevant to workshop participants’ own domain of work, so learning is of immediate practical relevance. </w:t>
      </w:r>
    </w:p>
    <w:p w14:paraId="69C83E22" w14:textId="77777777" w:rsidR="00623386" w:rsidRDefault="00D82E06" w:rsidP="00D82E06">
      <w:pPr>
        <w:ind w:left="720"/>
      </w:pPr>
      <w:r>
        <w:t>“</w:t>
      </w:r>
      <w:r w:rsidR="00F9690A" w:rsidRPr="00F9690A">
        <w:t>we developed Data Carpentry as two-day workshops to meet these data training needs and focus on standard steps in the data workflow – organizing, managing and analyzing data in a more efficient and reproducible way. Additionally, because people learn best when new skills are building on an existing framework, Data Carpentry workshops are designed to be domain-specific so researchers can learn more quickly and effectively, and see more immediately how to implement these skills and approaches in their own work.</w:t>
      </w:r>
      <w:r w:rsidR="00F9690A">
        <w:t>”</w:t>
      </w:r>
    </w:p>
    <w:p w14:paraId="42048A79" w14:textId="77777777" w:rsidR="00D82E06" w:rsidRDefault="00A01CA0" w:rsidP="00D82E06">
      <w:pPr>
        <w:ind w:left="720"/>
      </w:pPr>
      <w:r w:rsidRPr="00A01CA0">
        <w:rPr>
          <w:noProof/>
        </w:rPr>
        <w:t>(Teal et al., 2015, p. 138)</w:t>
      </w:r>
      <w:r>
        <w:t xml:space="preserve"> </w:t>
      </w:r>
    </w:p>
    <w:p w14:paraId="434121EB" w14:textId="77777777" w:rsidR="007E5F3F" w:rsidRDefault="007E5F3F" w:rsidP="007E5F3F">
      <w:r>
        <w:t xml:space="preserve">In the data carpentry conception, we see less emphasis given to high level literacy goals, and more given to tools and techniques – to a steep learning curve </w:t>
      </w:r>
      <w:r w:rsidR="002E36FD">
        <w:t>being surmounted by deliberate practice.</w:t>
      </w:r>
    </w:p>
    <w:p w14:paraId="34BF05AB" w14:textId="77777777" w:rsidR="007E5F3F" w:rsidRDefault="007E5F3F" w:rsidP="007E5F3F"/>
    <w:p w14:paraId="1F494E09" w14:textId="77777777" w:rsidR="004B770E" w:rsidRDefault="00ED3FBD" w:rsidP="003E0106">
      <w:pPr>
        <w:pStyle w:val="Heading2"/>
        <w:numPr>
          <w:ilvl w:val="0"/>
          <w:numId w:val="2"/>
        </w:numPr>
      </w:pPr>
      <w:r>
        <w:t>An inclusion focus</w:t>
      </w:r>
    </w:p>
    <w:p w14:paraId="5A436BBC" w14:textId="77777777" w:rsidR="007E5F3F" w:rsidRPr="007E5F3F" w:rsidRDefault="007E5F3F" w:rsidP="007E5F3F">
      <w:r>
        <w:br/>
        <w:t xml:space="preserve">A broader conception, and arguably one more relevant to community informatics, is one I am calling an </w:t>
      </w:r>
      <w:r w:rsidRPr="003341CD">
        <w:rPr>
          <w:i/>
        </w:rPr>
        <w:t>inclusion</w:t>
      </w:r>
      <w:r>
        <w:t xml:space="preserve"> conception. Here, a key goal of data literacy is to overcome skill and knowledge inequalities, to enable community members and organisations to access data and to put it to work on local and personal concerns.</w:t>
      </w:r>
    </w:p>
    <w:p w14:paraId="6788FB8A" w14:textId="77777777" w:rsidR="004B770E" w:rsidRPr="00A61CBE" w:rsidRDefault="004B770E" w:rsidP="004B770E">
      <w:pPr>
        <w:ind w:left="720"/>
      </w:pPr>
      <w:r w:rsidRPr="00A61CBE">
        <w:t>“Data literacy focused on building social inclusion offers a doorway to understanding, interpreting, and managing data-driven decisions and arguments for all people. The alternative future we must strive for is one where people are incentivized and empowered to control their own data and its use. This is data inclusion”</w:t>
      </w:r>
    </w:p>
    <w:p w14:paraId="0D26BAB9" w14:textId="77777777" w:rsidR="004B770E" w:rsidRDefault="004B770E" w:rsidP="004B770E">
      <w:pPr>
        <w:ind w:left="720"/>
      </w:pPr>
      <w:r>
        <w:rPr>
          <w:noProof/>
        </w:rPr>
        <w:t>(</w:t>
      </w:r>
      <w:r w:rsidRPr="00FC7AC5">
        <w:rPr>
          <w:noProof/>
        </w:rPr>
        <w:t>Data-Pop Alliance, 2015, p. 23)</w:t>
      </w:r>
      <w:r>
        <w:t xml:space="preserve">  </w:t>
      </w:r>
    </w:p>
    <w:p w14:paraId="21D5F9AA" w14:textId="77777777" w:rsidR="004B770E" w:rsidRPr="004B770E" w:rsidRDefault="007E5F3F" w:rsidP="004B770E">
      <w:r>
        <w:t>While all of the core competencies remain relevant to the inclusion conception, a distinctive feature is this widening of the concept to better capture the end aspiration of building literacy skills within communities.</w:t>
      </w:r>
      <w:r w:rsidR="00A01F58">
        <w:t xml:space="preserve"> A further </w:t>
      </w:r>
      <w:r w:rsidR="00630653">
        <w:t>goal</w:t>
      </w:r>
      <w:r w:rsidR="00A01F58">
        <w:t xml:space="preserve"> is that marginalised people are </w:t>
      </w:r>
      <w:r w:rsidR="00A01F58" w:rsidRPr="00A01F58">
        <w:rPr>
          <w:i/>
        </w:rPr>
        <w:t>directly</w:t>
      </w:r>
      <w:r w:rsidR="00A01F58">
        <w:t xml:space="preserve"> involved, rather than simply being the intended beneficiaries of data projects </w:t>
      </w:r>
      <w:r w:rsidR="0066497A" w:rsidRPr="0066497A">
        <w:rPr>
          <w:noProof/>
        </w:rPr>
        <w:t>(Davies et al., 2016)</w:t>
      </w:r>
    </w:p>
    <w:p w14:paraId="28D7B9EA" w14:textId="77777777" w:rsidR="00623386" w:rsidRDefault="00623386" w:rsidP="00623386"/>
    <w:p w14:paraId="77040099" w14:textId="77777777" w:rsidR="00577FD5" w:rsidRPr="00577FD5" w:rsidRDefault="00335D52" w:rsidP="00623386">
      <w:pPr>
        <w:rPr>
          <w:b/>
        </w:rPr>
      </w:pPr>
      <w:r>
        <w:rPr>
          <w:b/>
        </w:rPr>
        <w:t>Table 2</w:t>
      </w:r>
      <w:r w:rsidR="00577FD5" w:rsidRPr="00577FD5">
        <w:rPr>
          <w:b/>
        </w:rPr>
        <w:t>: Most common</w:t>
      </w:r>
      <w:r w:rsidR="00657159">
        <w:rPr>
          <w:b/>
        </w:rPr>
        <w:t xml:space="preserve"> terms</w:t>
      </w:r>
      <w:r w:rsidR="00577FD5" w:rsidRPr="00577FD5">
        <w:rPr>
          <w:b/>
        </w:rPr>
        <w:t xml:space="preserve"> in </w:t>
      </w:r>
      <w:r w:rsidR="00743BB0">
        <w:rPr>
          <w:b/>
        </w:rPr>
        <w:t xml:space="preserve">paper clusters corresponding to </w:t>
      </w:r>
      <w:r w:rsidR="00657159">
        <w:rPr>
          <w:b/>
        </w:rPr>
        <w:t xml:space="preserve">alternate </w:t>
      </w:r>
      <w:r w:rsidR="00577FD5">
        <w:rPr>
          <w:b/>
        </w:rPr>
        <w:t xml:space="preserve">data literacy </w:t>
      </w:r>
      <w:r w:rsidR="00577FD5" w:rsidRPr="00577FD5">
        <w:rPr>
          <w:b/>
        </w:rPr>
        <w:t>conceptions</w:t>
      </w:r>
      <w:r w:rsidR="00577FD5">
        <w:rPr>
          <w:b/>
        </w:rPr>
        <w:t xml:space="preserve"> (</w:t>
      </w:r>
      <w:r w:rsidR="00584DA6">
        <w:rPr>
          <w:b/>
        </w:rPr>
        <w:t xml:space="preserve">“data”, “literacy”, </w:t>
      </w:r>
      <w:r w:rsidR="00743BB0">
        <w:rPr>
          <w:b/>
        </w:rPr>
        <w:t xml:space="preserve">and </w:t>
      </w:r>
      <w:r w:rsidR="00577FD5">
        <w:rPr>
          <w:b/>
        </w:rPr>
        <w:t>stop words removed)</w:t>
      </w:r>
    </w:p>
    <w:tbl>
      <w:tblPr>
        <w:tblStyle w:val="TableGrid"/>
        <w:tblW w:w="0" w:type="auto"/>
        <w:tblLook w:val="04A0" w:firstRow="1" w:lastRow="0" w:firstColumn="1" w:lastColumn="0" w:noHBand="0" w:noVBand="1"/>
      </w:tblPr>
      <w:tblGrid>
        <w:gridCol w:w="2252"/>
        <w:gridCol w:w="2252"/>
        <w:gridCol w:w="2253"/>
        <w:gridCol w:w="2253"/>
      </w:tblGrid>
      <w:tr w:rsidR="00657F5E" w14:paraId="301B9544" w14:textId="77777777" w:rsidTr="00577FD5">
        <w:trPr>
          <w:trHeight w:val="563"/>
        </w:trPr>
        <w:tc>
          <w:tcPr>
            <w:tcW w:w="2252" w:type="dxa"/>
          </w:tcPr>
          <w:p w14:paraId="6F97EF6E" w14:textId="77777777" w:rsidR="00657F5E" w:rsidRPr="00577FD5" w:rsidRDefault="00657F5E" w:rsidP="00ED3FBD">
            <w:pPr>
              <w:rPr>
                <w:b/>
              </w:rPr>
            </w:pPr>
            <w:r w:rsidRPr="00577FD5">
              <w:rPr>
                <w:b/>
              </w:rPr>
              <w:t xml:space="preserve">Research </w:t>
            </w:r>
            <w:r w:rsidR="00ED3FBD">
              <w:rPr>
                <w:b/>
              </w:rPr>
              <w:t>Focus</w:t>
            </w:r>
          </w:p>
        </w:tc>
        <w:tc>
          <w:tcPr>
            <w:tcW w:w="2252" w:type="dxa"/>
          </w:tcPr>
          <w:p w14:paraId="32C946EC" w14:textId="77777777" w:rsidR="00657F5E" w:rsidRPr="00577FD5" w:rsidRDefault="00335D52" w:rsidP="00623386">
            <w:pPr>
              <w:rPr>
                <w:b/>
              </w:rPr>
            </w:pPr>
            <w:r>
              <w:rPr>
                <w:b/>
              </w:rPr>
              <w:t>Classroom</w:t>
            </w:r>
          </w:p>
          <w:p w14:paraId="6EB29E3A" w14:textId="77777777" w:rsidR="00657F5E" w:rsidRPr="00577FD5" w:rsidRDefault="00ED3FBD" w:rsidP="00623386">
            <w:pPr>
              <w:rPr>
                <w:b/>
              </w:rPr>
            </w:pPr>
            <w:r>
              <w:rPr>
                <w:b/>
              </w:rPr>
              <w:t>Focus</w:t>
            </w:r>
          </w:p>
        </w:tc>
        <w:tc>
          <w:tcPr>
            <w:tcW w:w="2253" w:type="dxa"/>
          </w:tcPr>
          <w:p w14:paraId="556D16BF" w14:textId="77777777" w:rsidR="00657F5E" w:rsidRPr="00577FD5" w:rsidRDefault="00657F5E" w:rsidP="00623386">
            <w:pPr>
              <w:rPr>
                <w:b/>
              </w:rPr>
            </w:pPr>
            <w:r w:rsidRPr="00577FD5">
              <w:rPr>
                <w:b/>
              </w:rPr>
              <w:t>Carpentry</w:t>
            </w:r>
          </w:p>
          <w:p w14:paraId="550E8B01" w14:textId="77777777" w:rsidR="00657F5E" w:rsidRPr="00577FD5" w:rsidRDefault="00ED3FBD" w:rsidP="00623386">
            <w:pPr>
              <w:rPr>
                <w:b/>
              </w:rPr>
            </w:pPr>
            <w:r>
              <w:rPr>
                <w:b/>
              </w:rPr>
              <w:t>Focus</w:t>
            </w:r>
          </w:p>
        </w:tc>
        <w:tc>
          <w:tcPr>
            <w:tcW w:w="2253" w:type="dxa"/>
          </w:tcPr>
          <w:p w14:paraId="29F79B9A" w14:textId="77777777" w:rsidR="00657F5E" w:rsidRPr="00577FD5" w:rsidRDefault="00657F5E" w:rsidP="00623386">
            <w:pPr>
              <w:rPr>
                <w:b/>
              </w:rPr>
            </w:pPr>
            <w:r w:rsidRPr="00577FD5">
              <w:rPr>
                <w:b/>
              </w:rPr>
              <w:t xml:space="preserve">Inclusion </w:t>
            </w:r>
          </w:p>
          <w:p w14:paraId="1B192E8D" w14:textId="77777777" w:rsidR="00657F5E" w:rsidRPr="00577FD5" w:rsidRDefault="00ED3FBD" w:rsidP="00623386">
            <w:pPr>
              <w:rPr>
                <w:b/>
              </w:rPr>
            </w:pPr>
            <w:r>
              <w:rPr>
                <w:b/>
              </w:rPr>
              <w:t>Focus</w:t>
            </w:r>
          </w:p>
        </w:tc>
      </w:tr>
      <w:tr w:rsidR="00657F5E" w14:paraId="483AE375" w14:textId="77777777" w:rsidTr="00577FD5">
        <w:trPr>
          <w:trHeight w:val="297"/>
        </w:trPr>
        <w:tc>
          <w:tcPr>
            <w:tcW w:w="2252" w:type="dxa"/>
          </w:tcPr>
          <w:p w14:paraId="2D3A1477" w14:textId="77777777" w:rsidR="00C60DFC" w:rsidRDefault="005343B6" w:rsidP="00623386">
            <w:r>
              <w:t>Libra</w:t>
            </w:r>
            <w:r w:rsidR="00CB58E8">
              <w:t>rians</w:t>
            </w:r>
          </w:p>
          <w:p w14:paraId="282FED01" w14:textId="77777777" w:rsidR="00CB58E8" w:rsidRDefault="00CB58E8" w:rsidP="00623386">
            <w:r>
              <w:t>Libraries</w:t>
            </w:r>
          </w:p>
          <w:p w14:paraId="51A3F5AF" w14:textId="77777777" w:rsidR="00CB58E8" w:rsidRDefault="00CB58E8" w:rsidP="00623386">
            <w:r>
              <w:t>Information</w:t>
            </w:r>
          </w:p>
          <w:p w14:paraId="1A152EDE" w14:textId="77777777" w:rsidR="00CB58E8" w:rsidRDefault="00CB58E8" w:rsidP="00623386">
            <w:r>
              <w:t>Management</w:t>
            </w:r>
          </w:p>
          <w:p w14:paraId="39B3AA87" w14:textId="77777777" w:rsidR="00CB58E8" w:rsidRDefault="00CB58E8" w:rsidP="00623386">
            <w:r>
              <w:t>Faculty</w:t>
            </w:r>
          </w:p>
          <w:p w14:paraId="3CA1D981" w14:textId="77777777" w:rsidR="00CB58E8" w:rsidRDefault="00CB58E8" w:rsidP="00623386">
            <w:r>
              <w:t>Projects</w:t>
            </w:r>
          </w:p>
          <w:p w14:paraId="28220940" w14:textId="77777777" w:rsidR="00CB58E8" w:rsidRDefault="00CB58E8" w:rsidP="00623386">
            <w:r>
              <w:t>Learned</w:t>
            </w:r>
          </w:p>
          <w:p w14:paraId="3CC9987E" w14:textId="77777777" w:rsidR="00CB58E8" w:rsidRDefault="00CB58E8" w:rsidP="00623386">
            <w:r>
              <w:t>Standards</w:t>
            </w:r>
          </w:p>
          <w:p w14:paraId="1CEBF51D" w14:textId="77777777" w:rsidR="00CB58E8" w:rsidRDefault="00CB58E8" w:rsidP="00623386">
            <w:r>
              <w:t>Relevant</w:t>
            </w:r>
          </w:p>
          <w:p w14:paraId="23271D1F" w14:textId="77777777" w:rsidR="00CB58E8" w:rsidRDefault="00CB58E8" w:rsidP="00623386">
            <w:r>
              <w:t>Service</w:t>
            </w:r>
          </w:p>
          <w:p w14:paraId="2E9501F5" w14:textId="77777777" w:rsidR="00845FE5" w:rsidRDefault="00845FE5" w:rsidP="00623386">
            <w:r>
              <w:t>Research</w:t>
            </w:r>
          </w:p>
        </w:tc>
        <w:tc>
          <w:tcPr>
            <w:tcW w:w="2252" w:type="dxa"/>
          </w:tcPr>
          <w:p w14:paraId="2578E9B9" w14:textId="77777777" w:rsidR="00584DA6" w:rsidRDefault="00CB58E8" w:rsidP="00623386">
            <w:r>
              <w:t>Teacher</w:t>
            </w:r>
          </w:p>
          <w:p w14:paraId="2AAB3041" w14:textId="77777777" w:rsidR="00CB58E8" w:rsidRDefault="00CB58E8" w:rsidP="00623386">
            <w:r>
              <w:t>Decisions</w:t>
            </w:r>
          </w:p>
          <w:p w14:paraId="0467037C" w14:textId="77777777" w:rsidR="00CB58E8" w:rsidRDefault="00CB58E8" w:rsidP="00623386">
            <w:r>
              <w:t>Course</w:t>
            </w:r>
          </w:p>
          <w:p w14:paraId="7EFD65AA" w14:textId="77777777" w:rsidR="00CB58E8" w:rsidRDefault="00CB58E8" w:rsidP="00623386">
            <w:r>
              <w:t>State</w:t>
            </w:r>
          </w:p>
          <w:p w14:paraId="5A321EBF" w14:textId="77777777" w:rsidR="00CB58E8" w:rsidRDefault="00CB58E8" w:rsidP="00623386">
            <w:r>
              <w:t>Parent</w:t>
            </w:r>
          </w:p>
          <w:p w14:paraId="4FD2661E" w14:textId="77777777" w:rsidR="00CB58E8" w:rsidRDefault="00CB58E8" w:rsidP="00623386">
            <w:r>
              <w:t>Prepared</w:t>
            </w:r>
          </w:p>
          <w:p w14:paraId="55A479D8" w14:textId="77777777" w:rsidR="00CB58E8" w:rsidRDefault="00CB58E8" w:rsidP="00623386">
            <w:r>
              <w:t>Know</w:t>
            </w:r>
          </w:p>
          <w:p w14:paraId="21E3315B" w14:textId="77777777" w:rsidR="00CB58E8" w:rsidRDefault="00CB58E8" w:rsidP="00623386">
            <w:r>
              <w:t>Students</w:t>
            </w:r>
          </w:p>
          <w:p w14:paraId="23E93A64" w14:textId="77777777" w:rsidR="00CB58E8" w:rsidRDefault="00CB58E8" w:rsidP="00623386">
            <w:r>
              <w:t>Policy</w:t>
            </w:r>
          </w:p>
          <w:p w14:paraId="4571C8FF" w14:textId="77777777" w:rsidR="00CB58E8" w:rsidRDefault="00CB58E8" w:rsidP="00623386">
            <w:r>
              <w:t>Training</w:t>
            </w:r>
          </w:p>
          <w:p w14:paraId="3938C118" w14:textId="77777777" w:rsidR="00CB58E8" w:rsidRDefault="00CB58E8" w:rsidP="00623386">
            <w:r>
              <w:t>Privacy</w:t>
            </w:r>
          </w:p>
        </w:tc>
        <w:tc>
          <w:tcPr>
            <w:tcW w:w="2253" w:type="dxa"/>
          </w:tcPr>
          <w:p w14:paraId="5154831E" w14:textId="77777777" w:rsidR="00F265DC" w:rsidRDefault="00CB58E8" w:rsidP="00623386">
            <w:r>
              <w:t>Workshops</w:t>
            </w:r>
          </w:p>
          <w:p w14:paraId="32370817" w14:textId="77777777" w:rsidR="00CB58E8" w:rsidRDefault="00CB58E8" w:rsidP="00623386">
            <w:r>
              <w:t>Training</w:t>
            </w:r>
          </w:p>
          <w:p w14:paraId="043E2D4E" w14:textId="77777777" w:rsidR="00CB58E8" w:rsidRDefault="00CB58E8" w:rsidP="00623386">
            <w:r>
              <w:t>Instructors</w:t>
            </w:r>
          </w:p>
          <w:p w14:paraId="605CBFBB" w14:textId="77777777" w:rsidR="00CB58E8" w:rsidRDefault="00CB58E8" w:rsidP="00623386">
            <w:r>
              <w:t>Software</w:t>
            </w:r>
          </w:p>
          <w:p w14:paraId="61346430" w14:textId="77777777" w:rsidR="00CB58E8" w:rsidRDefault="00CB58E8" w:rsidP="00623386">
            <w:r>
              <w:t>Lessons</w:t>
            </w:r>
          </w:p>
          <w:p w14:paraId="31F47DEC" w14:textId="77777777" w:rsidR="00CB58E8" w:rsidRDefault="00CB58E8" w:rsidP="00623386">
            <w:r>
              <w:t>Materials</w:t>
            </w:r>
          </w:p>
          <w:p w14:paraId="0B8FA393" w14:textId="77777777" w:rsidR="00CB58E8" w:rsidRDefault="00CB58E8" w:rsidP="00623386">
            <w:r>
              <w:t>Participating</w:t>
            </w:r>
          </w:p>
          <w:p w14:paraId="2082F3E7" w14:textId="77777777" w:rsidR="00CB58E8" w:rsidRDefault="00CB58E8" w:rsidP="00623386">
            <w:r>
              <w:t>Surveys</w:t>
            </w:r>
          </w:p>
          <w:p w14:paraId="5AD3B2EB" w14:textId="77777777" w:rsidR="00CB58E8" w:rsidRDefault="00CB58E8" w:rsidP="00623386">
            <w:r>
              <w:t>Taught</w:t>
            </w:r>
          </w:p>
          <w:p w14:paraId="0683BE96" w14:textId="77777777" w:rsidR="00CB58E8" w:rsidRDefault="00CB58E8" w:rsidP="00623386">
            <w:r>
              <w:t>Reproducibility</w:t>
            </w:r>
          </w:p>
          <w:p w14:paraId="07333279" w14:textId="77777777" w:rsidR="00CB58E8" w:rsidRDefault="00CB58E8" w:rsidP="00623386">
            <w:r>
              <w:t>Allow</w:t>
            </w:r>
          </w:p>
        </w:tc>
        <w:tc>
          <w:tcPr>
            <w:tcW w:w="2253" w:type="dxa"/>
          </w:tcPr>
          <w:p w14:paraId="5224055A" w14:textId="77777777" w:rsidR="007602C9" w:rsidRDefault="00CB58E8" w:rsidP="00623386">
            <w:r>
              <w:t>Social</w:t>
            </w:r>
          </w:p>
          <w:p w14:paraId="4AEE2CC7" w14:textId="77777777" w:rsidR="00CB58E8" w:rsidRDefault="00CB58E8" w:rsidP="00623386">
            <w:r>
              <w:t>Participating</w:t>
            </w:r>
          </w:p>
          <w:p w14:paraId="2E38BB64" w14:textId="77777777" w:rsidR="00CB58E8" w:rsidRDefault="00CB58E8" w:rsidP="00623386">
            <w:r>
              <w:t>Design</w:t>
            </w:r>
          </w:p>
          <w:p w14:paraId="5179B0C9" w14:textId="77777777" w:rsidR="00CB58E8" w:rsidRDefault="00CB58E8" w:rsidP="00623386">
            <w:r>
              <w:t>Inclusion</w:t>
            </w:r>
          </w:p>
          <w:p w14:paraId="447FF778" w14:textId="77777777" w:rsidR="00CB58E8" w:rsidRDefault="00CB58E8" w:rsidP="00623386">
            <w:r>
              <w:t>Stories</w:t>
            </w:r>
          </w:p>
          <w:p w14:paraId="7C45985F" w14:textId="77777777" w:rsidR="00CB58E8" w:rsidRDefault="00CB58E8" w:rsidP="00623386">
            <w:r>
              <w:t>Narrative</w:t>
            </w:r>
          </w:p>
          <w:p w14:paraId="14F3764A" w14:textId="77777777" w:rsidR="00CB58E8" w:rsidRDefault="00CB58E8" w:rsidP="00623386">
            <w:r>
              <w:t>Journals</w:t>
            </w:r>
          </w:p>
          <w:p w14:paraId="5B0DBF6F" w14:textId="77777777" w:rsidR="00CB58E8" w:rsidRDefault="00CB58E8" w:rsidP="00623386">
            <w:r>
              <w:t>Big</w:t>
            </w:r>
          </w:p>
          <w:p w14:paraId="3975FB43" w14:textId="77777777" w:rsidR="00CB58E8" w:rsidRDefault="00CB58E8" w:rsidP="00623386">
            <w:r>
              <w:t>Contextualize</w:t>
            </w:r>
          </w:p>
          <w:p w14:paraId="7E350F6E" w14:textId="77777777" w:rsidR="00CB58E8" w:rsidRDefault="00CB58E8" w:rsidP="00623386">
            <w:r>
              <w:t>Able</w:t>
            </w:r>
          </w:p>
          <w:p w14:paraId="549DE3D9" w14:textId="77777777" w:rsidR="00CB58E8" w:rsidRDefault="00CB58E8" w:rsidP="00623386">
            <w:r>
              <w:t>Term</w:t>
            </w:r>
          </w:p>
        </w:tc>
      </w:tr>
      <w:tr w:rsidR="00657F5E" w14:paraId="61262C06" w14:textId="77777777" w:rsidTr="00CB58E8">
        <w:trPr>
          <w:trHeight w:val="562"/>
        </w:trPr>
        <w:tc>
          <w:tcPr>
            <w:tcW w:w="2252" w:type="dxa"/>
          </w:tcPr>
          <w:p w14:paraId="1634E15D" w14:textId="77777777" w:rsidR="00657F5E" w:rsidRDefault="00B9431E" w:rsidP="00623386">
            <w:r>
              <w:t xml:space="preserve">7 documents e.g.: </w:t>
            </w:r>
            <w:r w:rsidR="000B18F8" w:rsidRPr="000B18F8">
              <w:rPr>
                <w:noProof/>
              </w:rPr>
              <w:t>(Carlson et al., 2011)</w:t>
            </w:r>
          </w:p>
        </w:tc>
        <w:tc>
          <w:tcPr>
            <w:tcW w:w="2252" w:type="dxa"/>
          </w:tcPr>
          <w:p w14:paraId="05B668CE" w14:textId="77777777" w:rsidR="00657F5E" w:rsidRDefault="00B9431E" w:rsidP="00B9431E">
            <w:r>
              <w:t>2 documents</w:t>
            </w:r>
            <w:r w:rsidR="007F4E86">
              <w:t xml:space="preserve">, e.g. </w:t>
            </w:r>
            <w:r w:rsidR="007F4E86" w:rsidRPr="007F4E86">
              <w:rPr>
                <w:noProof/>
              </w:rPr>
              <w:t>(Mandinach &amp; Gummer, 2013)</w:t>
            </w:r>
            <w:r w:rsidR="007F4E86">
              <w:t xml:space="preserve"> </w:t>
            </w:r>
          </w:p>
        </w:tc>
        <w:tc>
          <w:tcPr>
            <w:tcW w:w="2253" w:type="dxa"/>
          </w:tcPr>
          <w:p w14:paraId="41DF6D45" w14:textId="77777777" w:rsidR="00657F5E" w:rsidRDefault="00B9431E" w:rsidP="00623386">
            <w:r>
              <w:t xml:space="preserve">1 document: </w:t>
            </w:r>
            <w:r w:rsidR="00F744FD" w:rsidRPr="00F744FD">
              <w:rPr>
                <w:noProof/>
              </w:rPr>
              <w:t>(Teal et al., 2015)</w:t>
            </w:r>
          </w:p>
        </w:tc>
        <w:tc>
          <w:tcPr>
            <w:tcW w:w="2253" w:type="dxa"/>
          </w:tcPr>
          <w:p w14:paraId="336FC004" w14:textId="77777777" w:rsidR="00657F5E" w:rsidRDefault="007F4E86" w:rsidP="00623386">
            <w:r>
              <w:t xml:space="preserve">3 documents, e.g. </w:t>
            </w:r>
            <w:r w:rsidR="00055543" w:rsidRPr="00055543">
              <w:rPr>
                <w:noProof/>
              </w:rPr>
              <w:t>(Data-Pop Alliance, 2015)</w:t>
            </w:r>
          </w:p>
        </w:tc>
      </w:tr>
    </w:tbl>
    <w:p w14:paraId="1073C277" w14:textId="77777777" w:rsidR="00657F5E" w:rsidRDefault="00657F5E" w:rsidP="00623386"/>
    <w:p w14:paraId="43F8125E" w14:textId="77777777" w:rsidR="00623386" w:rsidRDefault="00630653" w:rsidP="00623386">
      <w:pPr>
        <w:pStyle w:val="Heading1"/>
      </w:pPr>
      <w:r>
        <w:t>A</w:t>
      </w:r>
      <w:r w:rsidR="00623386">
        <w:t xml:space="preserve"> Capabilities </w:t>
      </w:r>
      <w:r w:rsidR="004B770E">
        <w:t>Conception</w:t>
      </w:r>
      <w:r w:rsidR="00623386">
        <w:t xml:space="preserve"> </w:t>
      </w:r>
    </w:p>
    <w:p w14:paraId="1EE57066" w14:textId="77777777" w:rsidR="00623386" w:rsidRDefault="00623386" w:rsidP="00172ED2">
      <w:pPr>
        <w:pStyle w:val="Heading2"/>
      </w:pPr>
    </w:p>
    <w:p w14:paraId="6315C122" w14:textId="77777777" w:rsidR="00172ED2" w:rsidRDefault="00ED2A3C" w:rsidP="00ED2A3C">
      <w:r>
        <w:t xml:space="preserve">The inclusion conception developed by Data-Pop pushes data literacy toward the </w:t>
      </w:r>
      <w:r w:rsidR="00630653">
        <w:t>form</w:t>
      </w:r>
      <w:r>
        <w:t xml:space="preserve"> of a capability. The capabilities approach (CA) developed by Amartya Sen was a response to a prevailing view of human development as mere material gain (</w:t>
      </w:r>
      <w:r w:rsidR="00630653">
        <w:t xml:space="preserve">to be measured in </w:t>
      </w:r>
      <w:r>
        <w:t>GDP per capita)</w:t>
      </w:r>
      <w:r w:rsidR="00A93E6B">
        <w:t xml:space="preserve"> and the </w:t>
      </w:r>
      <w:r w:rsidR="00810FDC">
        <w:t>desire for intrinsic rather than instrumental measurements</w:t>
      </w:r>
      <w:r w:rsidR="00A93E6B">
        <w:t xml:space="preserve"> of </w:t>
      </w:r>
      <w:r w:rsidR="008E451E">
        <w:t xml:space="preserve">the success of </w:t>
      </w:r>
      <w:r w:rsidR="00630653">
        <w:t xml:space="preserve">development </w:t>
      </w:r>
      <w:r w:rsidR="008E451E">
        <w:t>programmes</w:t>
      </w:r>
      <w:r w:rsidR="00A93E6B">
        <w:t xml:space="preserve"> </w:t>
      </w:r>
      <w:r w:rsidR="002B21BE" w:rsidRPr="002B21BE">
        <w:rPr>
          <w:noProof/>
        </w:rPr>
        <w:t>(Robeyns, 2011)</w:t>
      </w:r>
      <w:r>
        <w:t xml:space="preserve">. Sen proposed instead the </w:t>
      </w:r>
      <w:r w:rsidR="005D0870">
        <w:t xml:space="preserve">concept of development goals </w:t>
      </w:r>
      <w:r w:rsidR="008E451E">
        <w:t xml:space="preserve">as </w:t>
      </w:r>
      <w:r w:rsidR="005D0870">
        <w:t>the winning of ne</w:t>
      </w:r>
      <w:r w:rsidR="005C6F07">
        <w:t xml:space="preserve">w freedoms enabled by enhanced </w:t>
      </w:r>
      <w:r w:rsidR="005C6F07" w:rsidRPr="005C6F07">
        <w:rPr>
          <w:i/>
        </w:rPr>
        <w:t>functionings</w:t>
      </w:r>
      <w:r w:rsidR="00E0670D">
        <w:t xml:space="preserve"> </w:t>
      </w:r>
      <w:r w:rsidR="001E2EED" w:rsidRPr="001E2EED">
        <w:rPr>
          <w:noProof/>
        </w:rPr>
        <w:t>(Sen, 2005)</w:t>
      </w:r>
      <w:r w:rsidR="005D0870">
        <w:t xml:space="preserve">. These Sen left deliberately unspecified, though they were seen to vary from </w:t>
      </w:r>
      <w:r w:rsidR="00B80E61">
        <w:t>the simple to the sophisticated.</w:t>
      </w:r>
      <w:r w:rsidR="005D0870">
        <w:t xml:space="preserve"> An important feature of the approach is that a capability is not necessarily practiced, but that the ability to practice it confers a freedom </w:t>
      </w:r>
      <w:r w:rsidR="00B80E61">
        <w:t xml:space="preserve">of opportunity </w:t>
      </w:r>
      <w:r w:rsidR="005D0870">
        <w:t>on the individual.</w:t>
      </w:r>
      <w:r w:rsidR="00713213">
        <w:t xml:space="preserve"> Equally important is the idea that capabilities may vary </w:t>
      </w:r>
      <w:r w:rsidR="008F528D">
        <w:t xml:space="preserve">between people </w:t>
      </w:r>
      <w:r w:rsidR="005C6F07">
        <w:t xml:space="preserve">even given the same set of </w:t>
      </w:r>
      <w:r w:rsidR="005C6F07" w:rsidRPr="005C6F07">
        <w:rPr>
          <w:i/>
        </w:rPr>
        <w:t>personal means</w:t>
      </w:r>
      <w:r w:rsidR="0066633F">
        <w:rPr>
          <w:i/>
        </w:rPr>
        <w:t xml:space="preserve"> </w:t>
      </w:r>
      <w:r w:rsidR="0066633F">
        <w:t>(</w:t>
      </w:r>
      <w:r w:rsidR="00324F4E">
        <w:t xml:space="preserve">access to </w:t>
      </w:r>
      <w:r w:rsidR="0066633F">
        <w:t>resources</w:t>
      </w:r>
      <w:r w:rsidR="00515BB9">
        <w:t>/primary goods)</w:t>
      </w:r>
      <w:r w:rsidR="008F528D">
        <w:t xml:space="preserve">, due to </w:t>
      </w:r>
      <w:r w:rsidR="000807E7">
        <w:t>other factors such as interpersonal differences</w:t>
      </w:r>
      <w:r w:rsidR="00324F4E">
        <w:t>, environmental factors</w:t>
      </w:r>
      <w:r w:rsidR="000807E7">
        <w:t xml:space="preserve"> and societal positions.</w:t>
      </w:r>
    </w:p>
    <w:p w14:paraId="549F2B83" w14:textId="77777777" w:rsidR="003E0106" w:rsidRDefault="003E0106" w:rsidP="00ED2A3C"/>
    <w:p w14:paraId="79552B96" w14:textId="77777777" w:rsidR="005D0870" w:rsidRDefault="005D0870" w:rsidP="00ED2A3C">
      <w:r>
        <w:t xml:space="preserve">While Sen argued that capabilities did not need to be specified and were necessarily context-specific, his peer Nussbaum proposed </w:t>
      </w:r>
      <w:r w:rsidR="00F66D95">
        <w:t xml:space="preserve">that </w:t>
      </w:r>
      <w:r>
        <w:t xml:space="preserve">a </w:t>
      </w:r>
      <w:r w:rsidR="00F66D95">
        <w:t xml:space="preserve">defined </w:t>
      </w:r>
      <w:r>
        <w:t>core set of capabilities</w:t>
      </w:r>
      <w:r w:rsidR="00F66D95">
        <w:t xml:space="preserve"> was necessary for advocacy purposes</w:t>
      </w:r>
      <w:r>
        <w:t xml:space="preserve">. Within Nussbaum’s proposed core capabilities, we </w:t>
      </w:r>
      <w:r w:rsidR="00F66D95">
        <w:t xml:space="preserve">can see </w:t>
      </w:r>
      <w:r w:rsidR="00630653">
        <w:t xml:space="preserve">where </w:t>
      </w:r>
      <w:r>
        <w:t>data literacy</w:t>
      </w:r>
      <w:r w:rsidR="00630653">
        <w:t xml:space="preserve"> would fit</w:t>
      </w:r>
      <w:r>
        <w:t xml:space="preserve">, notably in her </w:t>
      </w:r>
      <w:r w:rsidR="005C6F07">
        <w:t>“practical reason”</w:t>
      </w:r>
      <w:r>
        <w:t xml:space="preserve"> and </w:t>
      </w:r>
      <w:r w:rsidR="00630653">
        <w:t xml:space="preserve">“political and </w:t>
      </w:r>
      <w:r w:rsidR="00C10352">
        <w:t>material</w:t>
      </w:r>
      <w:r w:rsidR="00630653">
        <w:t xml:space="preserve"> </w:t>
      </w:r>
      <w:r w:rsidR="00F66D95">
        <w:t xml:space="preserve">control over one’s environment” </w:t>
      </w:r>
      <w:r>
        <w:t>capabilities</w:t>
      </w:r>
      <w:r w:rsidR="00F66D95">
        <w:t xml:space="preserve"> </w:t>
      </w:r>
      <w:r w:rsidR="00375BF2" w:rsidRPr="00375BF2">
        <w:rPr>
          <w:noProof/>
        </w:rPr>
        <w:t>(Nussbaum, 2003)</w:t>
      </w:r>
      <w:r w:rsidR="00F66D95">
        <w:t xml:space="preserve"> </w:t>
      </w:r>
      <w:r>
        <w:t>.</w:t>
      </w:r>
      <w:r w:rsidR="00D468C2">
        <w:t xml:space="preserve"> Nussbaum’s </w:t>
      </w:r>
      <w:r w:rsidR="00D468C2" w:rsidRPr="00D468C2">
        <w:rPr>
          <w:i/>
        </w:rPr>
        <w:t>practical reason</w:t>
      </w:r>
      <w:r w:rsidR="00D468C2">
        <w:t xml:space="preserve"> can be seen to be enhanced by evidence/data-based decision making in life decisions. Similarly, </w:t>
      </w:r>
      <w:r w:rsidR="00C10352">
        <w:t>political and material control can be conferred through participation, including the appreciation and active use of data relating to politics, land tenure and employment.</w:t>
      </w:r>
    </w:p>
    <w:p w14:paraId="53760204" w14:textId="77777777" w:rsidR="003E0106" w:rsidRDefault="003E0106" w:rsidP="00ED2A3C"/>
    <w:p w14:paraId="71383C46" w14:textId="77777777" w:rsidR="005D0870" w:rsidRPr="00172ED2" w:rsidRDefault="005D0870" w:rsidP="00ED2A3C">
      <w:r>
        <w:t>The CA has been highly influential in the development world</w:t>
      </w:r>
      <w:r w:rsidR="006075EA">
        <w:t xml:space="preserve"> </w:t>
      </w:r>
      <w:r w:rsidR="00641CFD" w:rsidRPr="00641CFD">
        <w:rPr>
          <w:noProof/>
        </w:rPr>
        <w:t>(Robeyns, 2011)</w:t>
      </w:r>
      <w:r>
        <w:t>. It has certainly been seen to be relevant to community informatics, though it has been persuasively argued that it is too individualistic in focus and that social and environmental capability dimens</w:t>
      </w:r>
      <w:r w:rsidR="007251D3">
        <w:t xml:space="preserve">ions also need to be considered </w:t>
      </w:r>
      <w:r w:rsidR="007251D3" w:rsidRPr="007251D3">
        <w:rPr>
          <w:noProof/>
        </w:rPr>
        <w:t>(Stillman &amp; Denison, 2014)</w:t>
      </w:r>
      <w:r w:rsidR="007251D3">
        <w:t>.</w:t>
      </w:r>
      <w:r w:rsidR="005A1216">
        <w:t xml:space="preserve"> </w:t>
      </w:r>
      <w:r w:rsidR="00E04E98">
        <w:t xml:space="preserve"> </w:t>
      </w:r>
      <w:r w:rsidR="006C7029">
        <w:t>In a similar</w:t>
      </w:r>
      <w:r w:rsidR="00C753C3">
        <w:t xml:space="preserve"> vein</w:t>
      </w:r>
      <w:r w:rsidR="00E04E98">
        <w:t xml:space="preserve">, </w:t>
      </w:r>
      <w:r w:rsidR="0057569C">
        <w:t>Lanzi notes how capabilities may be divided</w:t>
      </w:r>
      <w:r w:rsidR="006C7029">
        <w:t>, for better clarity,</w:t>
      </w:r>
      <w:r w:rsidR="005C6F07">
        <w:t xml:space="preserve"> into </w:t>
      </w:r>
      <w:r w:rsidR="005C6F07" w:rsidRPr="005C6F07">
        <w:rPr>
          <w:i/>
        </w:rPr>
        <w:t>S-caps</w:t>
      </w:r>
      <w:r w:rsidR="0057569C">
        <w:t xml:space="preserve">, or </w:t>
      </w:r>
      <w:r w:rsidR="005C6F07">
        <w:t xml:space="preserve">concrete skills and knowledge; </w:t>
      </w:r>
      <w:r w:rsidR="005C6F07" w:rsidRPr="005C6F07">
        <w:rPr>
          <w:i/>
        </w:rPr>
        <w:t>E-caps</w:t>
      </w:r>
      <w:r w:rsidR="0057569C">
        <w:t>, relating to ex</w:t>
      </w:r>
      <w:r w:rsidR="005C6F07">
        <w:t xml:space="preserve">ternal norms and social roles; </w:t>
      </w:r>
      <w:r w:rsidR="005C6F07" w:rsidRPr="005C6F07">
        <w:rPr>
          <w:i/>
        </w:rPr>
        <w:t>O-caps</w:t>
      </w:r>
      <w:r w:rsidR="005C6F07">
        <w:t xml:space="preserve"> or option capabilities; and </w:t>
      </w:r>
      <w:r w:rsidR="005C6F07" w:rsidRPr="005C6F07">
        <w:rPr>
          <w:i/>
        </w:rPr>
        <w:t>M-caps</w:t>
      </w:r>
      <w:r w:rsidR="0057569C">
        <w:t>, relating to moral</w:t>
      </w:r>
      <w:r w:rsidR="006C7029">
        <w:t>/ethical</w:t>
      </w:r>
      <w:r w:rsidR="0057569C">
        <w:t xml:space="preserve"> principles and life choices.</w:t>
      </w:r>
      <w:r w:rsidR="008D7FE9">
        <w:t xml:space="preserve"> While S-caps and E-caps afford basic skills and professional competencies, all </w:t>
      </w:r>
      <w:r w:rsidR="00366212">
        <w:t xml:space="preserve">of the above </w:t>
      </w:r>
      <w:r w:rsidR="008D7FE9">
        <w:t xml:space="preserve">capability types are required </w:t>
      </w:r>
      <w:r w:rsidR="00366212">
        <w:t>in concert</w:t>
      </w:r>
      <w:r w:rsidR="008D7FE9">
        <w:t xml:space="preserve"> to afford complex functionalities</w:t>
      </w:r>
      <w:r w:rsidR="00580B2A">
        <w:t xml:space="preserve"> (which include </w:t>
      </w:r>
      <w:r w:rsidR="00C753C3">
        <w:t xml:space="preserve">social change, </w:t>
      </w:r>
      <w:r w:rsidR="00580B2A">
        <w:t xml:space="preserve">self-learning, knowledge management, and problem solving) </w:t>
      </w:r>
      <w:r w:rsidR="006C7029" w:rsidRPr="006C7029">
        <w:rPr>
          <w:noProof/>
        </w:rPr>
        <w:t>(Lanzi, 2007)</w:t>
      </w:r>
    </w:p>
    <w:p w14:paraId="156D4E0E" w14:textId="77777777" w:rsidR="00312901" w:rsidRPr="008048F6" w:rsidRDefault="00312901" w:rsidP="008048F6">
      <w:pPr>
        <w:rPr>
          <w:b/>
        </w:rPr>
      </w:pPr>
      <w:r>
        <w:rPr>
          <w:b/>
        </w:rPr>
        <w:tab/>
      </w:r>
    </w:p>
    <w:p w14:paraId="1D58360C" w14:textId="77777777" w:rsidR="00630653" w:rsidRDefault="00630653" w:rsidP="00312901">
      <w:pPr>
        <w:rPr>
          <w:b/>
        </w:rPr>
      </w:pPr>
    </w:p>
    <w:p w14:paraId="5C1E1E5C" w14:textId="77777777" w:rsidR="00312901" w:rsidRDefault="00313C3A" w:rsidP="00312901">
      <w:pPr>
        <w:rPr>
          <w:b/>
        </w:rPr>
      </w:pPr>
      <w:r>
        <w:rPr>
          <w:b/>
        </w:rPr>
        <w:t xml:space="preserve">Fostering </w:t>
      </w:r>
      <w:r w:rsidR="00AE006A">
        <w:rPr>
          <w:b/>
        </w:rPr>
        <w:t xml:space="preserve">and Evaluating </w:t>
      </w:r>
      <w:r w:rsidR="00312901" w:rsidRPr="008048F6">
        <w:rPr>
          <w:b/>
        </w:rPr>
        <w:t>Social Capabilities</w:t>
      </w:r>
    </w:p>
    <w:p w14:paraId="0A7F8B83" w14:textId="77777777" w:rsidR="007251D3" w:rsidRDefault="007251D3" w:rsidP="00312901">
      <w:pPr>
        <w:rPr>
          <w:b/>
        </w:rPr>
      </w:pPr>
    </w:p>
    <w:p w14:paraId="5A17DD21" w14:textId="77777777" w:rsidR="007251D3" w:rsidRDefault="007251D3" w:rsidP="007251D3">
      <w:r>
        <w:t>Given the range in competencies required in data work, it is no surprise that these are often seen as most efficiently distributed amongst a team or organisation’s staff</w:t>
      </w:r>
      <w:r w:rsidR="009C64D7">
        <w:t xml:space="preserve">, with no one individual likely to be sufficiently knowledgeable </w:t>
      </w:r>
      <w:r w:rsidR="001B372C" w:rsidRPr="001B372C">
        <w:rPr>
          <w:noProof/>
        </w:rPr>
        <w:t>(Bradshaw, 2014)</w:t>
      </w:r>
      <w:r>
        <w:t>. Several authors attest to the importance of such multidisciplinary teams to the suc</w:t>
      </w:r>
      <w:r w:rsidR="00284E8A">
        <w:t xml:space="preserve">cess of data-intensive projects </w:t>
      </w:r>
      <w:r w:rsidR="0036588D" w:rsidRPr="0036588D">
        <w:rPr>
          <w:noProof/>
        </w:rPr>
        <w:t>(Atenas, Havemann, &amp; Priego, 2015; Slater, 2016)</w:t>
      </w:r>
      <w:r w:rsidR="00284E8A">
        <w:t xml:space="preserve">. </w:t>
      </w:r>
      <w:r w:rsidR="00C0574E">
        <w:t xml:space="preserve">While data specialist roles may not be formalised, it may suffice to recognise individuals already using data effectively </w:t>
      </w:r>
      <w:r w:rsidR="00284E8A" w:rsidRPr="00284E8A">
        <w:rPr>
          <w:noProof/>
        </w:rPr>
        <w:t>(Bhargava, 2015)</w:t>
      </w:r>
      <w:r w:rsidR="0036588D">
        <w:t>.</w:t>
      </w:r>
    </w:p>
    <w:p w14:paraId="608B3233" w14:textId="77777777" w:rsidR="007251D3" w:rsidRDefault="007251D3" w:rsidP="007251D3"/>
    <w:p w14:paraId="5711A7FE" w14:textId="77777777" w:rsidR="007251D3" w:rsidRDefault="007251D3" w:rsidP="007251D3">
      <w:r>
        <w:t>Similarly, data intermediaries are considered an important part of the ecosystem of community development projects at the present- working alongside community-based organisations or individuals</w:t>
      </w:r>
      <w:r w:rsidR="00C410CE">
        <w:t xml:space="preserve"> </w:t>
      </w:r>
      <w:r w:rsidR="003219AB" w:rsidRPr="003219AB">
        <w:rPr>
          <w:noProof/>
        </w:rPr>
        <w:t>(Davies et al., 2016; IODC, 2015)</w:t>
      </w:r>
      <w:r>
        <w:t xml:space="preserve">. Intermediaries bring technical expertise and analytic abilities to bear on domain-specific problems. Importantly, for capacity-building to occur effectively, it works best for intermediaries to have a long-term commitment to a community and to earn trust </w:t>
      </w:r>
      <w:r w:rsidR="005D6917" w:rsidRPr="005D6917">
        <w:rPr>
          <w:noProof/>
        </w:rPr>
        <w:t>(Kingsley, Coulton, &amp; Pettit, 2014)</w:t>
      </w:r>
    </w:p>
    <w:p w14:paraId="5B669077" w14:textId="77777777" w:rsidR="00E75DEF" w:rsidRDefault="00E75DEF" w:rsidP="007251D3"/>
    <w:p w14:paraId="08C1133B" w14:textId="77777777" w:rsidR="00E75DEF" w:rsidRDefault="00E75DEF" w:rsidP="007251D3">
      <w:r>
        <w:t xml:space="preserve">Social capabilities within communities can be raised by activities associated with social capital, namely: developing interdependence; fostering frequent interactions and creating space for conversations and interactions </w:t>
      </w:r>
      <w:r w:rsidR="007A4E8B" w:rsidRPr="007A4E8B">
        <w:rPr>
          <w:noProof/>
        </w:rPr>
        <w:t>(Ansari, Munir, &amp; Gregg, 2012)</w:t>
      </w:r>
    </w:p>
    <w:p w14:paraId="720B646B" w14:textId="77777777" w:rsidR="00312901" w:rsidRDefault="00312901" w:rsidP="00312901"/>
    <w:p w14:paraId="3A186099" w14:textId="77777777" w:rsidR="00964176" w:rsidRDefault="00964176" w:rsidP="00312901">
      <w:r>
        <w:t>Shin</w:t>
      </w:r>
      <w:r w:rsidR="007435AF">
        <w:t>n</w:t>
      </w:r>
      <w:r>
        <w:t xml:space="preserve"> notes the importance of </w:t>
      </w:r>
      <w:r w:rsidRPr="00AE006A">
        <w:rPr>
          <w:i/>
        </w:rPr>
        <w:t>variability</w:t>
      </w:r>
      <w:r>
        <w:t xml:space="preserve"> in outcomes as a measure of the success of community programmes. That is, if capacity building is geared toward one particular development </w:t>
      </w:r>
      <w:r w:rsidR="00CA734F">
        <w:t>outcome</w:t>
      </w:r>
      <w:r>
        <w:t xml:space="preserve">, then </w:t>
      </w:r>
      <w:r w:rsidR="00CA734F">
        <w:t>it will severely limit the ability to be inspired in one’s choice of life goals</w:t>
      </w:r>
      <w:r w:rsidR="00366C0B">
        <w:t xml:space="preserve">. This </w:t>
      </w:r>
      <w:r w:rsidR="00366C0B" w:rsidRPr="00991635">
        <w:rPr>
          <w:i/>
        </w:rPr>
        <w:t>capacity to be inspired</w:t>
      </w:r>
      <w:r w:rsidR="00366C0B">
        <w:t xml:space="preserve"> is raised by “practice, repetition, exploration, conjecture and refutation” </w:t>
      </w:r>
      <w:r w:rsidR="00366C0B" w:rsidRPr="00366C0B">
        <w:rPr>
          <w:noProof/>
        </w:rPr>
        <w:t>(Shinn, 2015)</w:t>
      </w:r>
      <w:r w:rsidR="009C6EE4">
        <w:t>. Shinn gives the example of employment programmes for those experiencing mental illness</w:t>
      </w:r>
      <w:r w:rsidR="00795C80">
        <w:t xml:space="preserve"> – where a broad set of capabilities is a preferred outcome</w:t>
      </w:r>
      <w:r w:rsidR="003D39AB">
        <w:t>, in contrast to a limited set of job roles that participants might be ready for on completion</w:t>
      </w:r>
      <w:r w:rsidR="00795C80">
        <w:t xml:space="preserve">. </w:t>
      </w:r>
    </w:p>
    <w:p w14:paraId="543E8DA5" w14:textId="77777777" w:rsidR="00964176" w:rsidRDefault="00964176" w:rsidP="00312901"/>
    <w:p w14:paraId="7ECCD864" w14:textId="77777777" w:rsidR="00623386" w:rsidRDefault="00623386" w:rsidP="00623386">
      <w:pPr>
        <w:pStyle w:val="Heading1"/>
      </w:pPr>
      <w:r>
        <w:t>Conclusion</w:t>
      </w:r>
    </w:p>
    <w:p w14:paraId="13967249" w14:textId="77777777" w:rsidR="00F5719D" w:rsidRDefault="00F5719D" w:rsidP="00F5719D"/>
    <w:p w14:paraId="0DAB1B09" w14:textId="77777777" w:rsidR="003C6A56" w:rsidRDefault="00F5719D" w:rsidP="00F5719D">
      <w:r>
        <w:t xml:space="preserve">Data literacy then, is a set of practical competencies situated in a wider context of personal and social goals, </w:t>
      </w:r>
      <w:r w:rsidR="00756365">
        <w:t xml:space="preserve">as well as challenges such as </w:t>
      </w:r>
      <w:r w:rsidR="003C6A56">
        <w:t>subjectivity and bias</w:t>
      </w:r>
      <w:r w:rsidR="00FB614E">
        <w:t xml:space="preserve">. Without </w:t>
      </w:r>
      <w:r w:rsidR="00AA3D7F">
        <w:t>an</w:t>
      </w:r>
      <w:r w:rsidR="00FB614E">
        <w:t xml:space="preserve"> ability to contextualise, data analysis efforts </w:t>
      </w:r>
      <w:r w:rsidR="003C6A56">
        <w:t>are often</w:t>
      </w:r>
      <w:r w:rsidR="00FB614E">
        <w:t xml:space="preserve"> rudderless</w:t>
      </w:r>
      <w:r w:rsidR="004314F8">
        <w:t xml:space="preserve"> or misapplied</w:t>
      </w:r>
      <w:r w:rsidR="00FB614E">
        <w:t xml:space="preserve"> </w:t>
      </w:r>
      <w:r w:rsidR="003C6A56" w:rsidRPr="003C6A56">
        <w:rPr>
          <w:noProof/>
        </w:rPr>
        <w:t>(Bradshaw, 2014)</w:t>
      </w:r>
      <w:r w:rsidR="003C6A56">
        <w:t>.</w:t>
      </w:r>
      <w:r w:rsidR="00AA3D7F">
        <w:t xml:space="preserve"> For this reason, the core data literacy competencies cannot be considered in isolation and the intrinsic benefits of data-informed functioning need to be linked to </w:t>
      </w:r>
      <w:r w:rsidR="00C56557">
        <w:t>the</w:t>
      </w:r>
      <w:r w:rsidR="00AA3D7F">
        <w:t xml:space="preserve"> technical </w:t>
      </w:r>
      <w:r w:rsidR="00C56557">
        <w:t>gains</w:t>
      </w:r>
      <w:r w:rsidR="00AA3D7F">
        <w:t>.</w:t>
      </w:r>
    </w:p>
    <w:p w14:paraId="7838EACE" w14:textId="77777777" w:rsidR="003C6A56" w:rsidRDefault="003C6A56" w:rsidP="00F5719D"/>
    <w:p w14:paraId="3A94C611" w14:textId="77777777" w:rsidR="00991635" w:rsidRDefault="00991635" w:rsidP="00F5719D">
      <w:r>
        <w:t>Properly directed, all</w:t>
      </w:r>
      <w:r w:rsidR="00756365">
        <w:t xml:space="preserve"> four of the data literacy flavours detailed above </w:t>
      </w:r>
      <w:r>
        <w:t xml:space="preserve">can </w:t>
      </w:r>
      <w:r w:rsidR="00756365">
        <w:t xml:space="preserve">build toward capability. </w:t>
      </w:r>
      <w:r w:rsidR="00C56557">
        <w:t xml:space="preserve">Good </w:t>
      </w:r>
      <w:r w:rsidR="00C56557" w:rsidRPr="00C56557">
        <w:rPr>
          <w:i/>
        </w:rPr>
        <w:t>research</w:t>
      </w:r>
      <w:r w:rsidR="00C56557">
        <w:t xml:space="preserve"> data practice in the academy will serve to improve the transparency a</w:t>
      </w:r>
      <w:r>
        <w:t>n</w:t>
      </w:r>
      <w:r w:rsidR="00C56557">
        <w:t xml:space="preserve">d reproducibility of research and possibilities for public engagement. Starting early in the </w:t>
      </w:r>
      <w:r w:rsidR="00C56557" w:rsidRPr="00C56557">
        <w:rPr>
          <w:i/>
        </w:rPr>
        <w:t>classroom</w:t>
      </w:r>
      <w:r w:rsidR="00C56557">
        <w:t xml:space="preserve"> with simple data work will establish </w:t>
      </w:r>
      <w:r>
        <w:t>cognitive</w:t>
      </w:r>
      <w:r w:rsidR="00C56557">
        <w:t xml:space="preserve"> links between </w:t>
      </w:r>
      <w:r>
        <w:t>use of evidence</w:t>
      </w:r>
      <w:r w:rsidR="00C56557">
        <w:t xml:space="preserve"> and societal issues. </w:t>
      </w:r>
      <w:r w:rsidR="00C56557" w:rsidRPr="00C56557">
        <w:rPr>
          <w:i/>
        </w:rPr>
        <w:t>Carpentry</w:t>
      </w:r>
      <w:r w:rsidR="00C56557">
        <w:t xml:space="preserve"> builds an important bridge between domain expertise and personal data skills.   And </w:t>
      </w:r>
      <w:r w:rsidR="00C56557" w:rsidRPr="00C56557">
        <w:rPr>
          <w:i/>
        </w:rPr>
        <w:t>inclusion</w:t>
      </w:r>
      <w:r w:rsidR="00C56557">
        <w:t xml:space="preserve"> rightly seeks to make </w:t>
      </w:r>
      <w:r w:rsidR="00AD65E9" w:rsidRPr="00AD65E9">
        <w:t>contextualised</w:t>
      </w:r>
      <w:r w:rsidR="00AD65E9">
        <w:t xml:space="preserve"> </w:t>
      </w:r>
      <w:r w:rsidR="00C56557">
        <w:t xml:space="preserve">data skills a universal aspiration. </w:t>
      </w:r>
    </w:p>
    <w:p w14:paraId="787F3CEF" w14:textId="77777777" w:rsidR="00991635" w:rsidRDefault="00991635" w:rsidP="00F5719D"/>
    <w:p w14:paraId="445196F5" w14:textId="77777777" w:rsidR="00F5719D" w:rsidRDefault="00756365" w:rsidP="00F5719D">
      <w:r>
        <w:t xml:space="preserve">A </w:t>
      </w:r>
      <w:r w:rsidR="000E6FF5">
        <w:t>simple common thread</w:t>
      </w:r>
      <w:r w:rsidR="00C56557">
        <w:t xml:space="preserve"> between all </w:t>
      </w:r>
      <w:r w:rsidR="00991635">
        <w:t>approaches is</w:t>
      </w:r>
      <w:r>
        <w:t xml:space="preserve"> the building of familiarity through practice. </w:t>
      </w:r>
      <w:r w:rsidR="004314F8">
        <w:t>Practice</w:t>
      </w:r>
      <w:r w:rsidR="003C6A56">
        <w:t xml:space="preserve"> </w:t>
      </w:r>
      <w:r w:rsidR="004314F8">
        <w:t>engenders experience and comfort</w:t>
      </w:r>
      <w:r>
        <w:t xml:space="preserve"> around data </w:t>
      </w:r>
      <w:r w:rsidRPr="00756365">
        <w:rPr>
          <w:noProof/>
        </w:rPr>
        <w:t>(Slater, 2016)</w:t>
      </w:r>
      <w:r w:rsidR="00BA49F8">
        <w:t xml:space="preserve"> and a deep knowledge of the context around particular datasets  </w:t>
      </w:r>
      <w:r w:rsidR="00525AA8" w:rsidRPr="00525AA8">
        <w:rPr>
          <w:noProof/>
        </w:rPr>
        <w:t>(Kingsley et al., 2014)</w:t>
      </w:r>
      <w:r w:rsidR="00525AA8">
        <w:t xml:space="preserve">. This in turn enables the flexible </w:t>
      </w:r>
      <w:r w:rsidR="00444DAB">
        <w:t xml:space="preserve">and inspired application of data to personal and community concerns. In this way, a new freedom is </w:t>
      </w:r>
      <w:r w:rsidR="00991635">
        <w:t>won</w:t>
      </w:r>
      <w:r w:rsidR="00444DAB">
        <w:t xml:space="preserve"> through </w:t>
      </w:r>
      <w:r w:rsidR="00991635">
        <w:t xml:space="preserve">the development of </w:t>
      </w:r>
      <w:r w:rsidR="00444DAB">
        <w:t>a technical literacy.</w:t>
      </w:r>
    </w:p>
    <w:p w14:paraId="091911D8" w14:textId="77777777" w:rsidR="00444DAB" w:rsidRDefault="00444DAB" w:rsidP="00F5719D"/>
    <w:p w14:paraId="21CE40F8" w14:textId="77777777" w:rsidR="00F5719D" w:rsidRPr="00F5719D" w:rsidRDefault="00AA3D7F" w:rsidP="00F5719D">
      <w:r>
        <w:t xml:space="preserve">The challenge of truly inclusive data literacy </w:t>
      </w:r>
      <w:r w:rsidR="00C20DB5">
        <w:t xml:space="preserve">should </w:t>
      </w:r>
      <w:r w:rsidR="00DD2B28">
        <w:t xml:space="preserve">of course </w:t>
      </w:r>
      <w:r w:rsidR="00C20DB5">
        <w:t xml:space="preserve">not be understated </w:t>
      </w:r>
      <w:r w:rsidR="00C12821" w:rsidRPr="00C12821">
        <w:rPr>
          <w:noProof/>
        </w:rPr>
        <w:t>(Data-Pop Alliance, 2015)</w:t>
      </w:r>
      <w:r w:rsidR="00C12821">
        <w:t xml:space="preserve"> though locally-based</w:t>
      </w:r>
      <w:r w:rsidR="00991635">
        <w:t>, locally-</w:t>
      </w:r>
      <w:r w:rsidR="00DD2B28">
        <w:t>committed</w:t>
      </w:r>
      <w:r w:rsidR="00C12821">
        <w:t xml:space="preserve"> technical data intermediaries can provide a part of the infrastructure </w:t>
      </w:r>
      <w:r w:rsidR="000E6FF5" w:rsidRPr="000E6FF5">
        <w:rPr>
          <w:noProof/>
        </w:rPr>
        <w:t>(Kingsley et al., 2013)</w:t>
      </w:r>
      <w:r w:rsidR="00C56557">
        <w:t>. The local data ecosystem</w:t>
      </w:r>
      <w:r w:rsidR="000E6FF5">
        <w:t xml:space="preserve"> may include established institutions in new data roles such as public libraries, which are well placed to act as local data hubs </w:t>
      </w:r>
      <w:r w:rsidR="00C56557" w:rsidRPr="00C56557">
        <w:rPr>
          <w:noProof/>
        </w:rPr>
        <w:t>(Bertot, Butler, &amp; Travis, 2014)</w:t>
      </w:r>
      <w:r w:rsidR="00C56557">
        <w:t>.</w:t>
      </w:r>
      <w:r w:rsidR="00DD2B28">
        <w:t xml:space="preserve"> </w:t>
      </w:r>
      <w:r w:rsidR="00AE006A">
        <w:t xml:space="preserve">Importantly, community capabilities will </w:t>
      </w:r>
      <w:r w:rsidR="00991635">
        <w:t xml:space="preserve">likely </w:t>
      </w:r>
      <w:r w:rsidR="00AE006A">
        <w:t>be raised as much through socialisation as through technical training.</w:t>
      </w:r>
    </w:p>
    <w:p w14:paraId="009F3819" w14:textId="77777777" w:rsidR="00FA0C46" w:rsidRDefault="00FA0C46" w:rsidP="00FA0C46">
      <w:pPr>
        <w:rPr>
          <w:highlight w:val="yellow"/>
        </w:rPr>
      </w:pPr>
    </w:p>
    <w:p w14:paraId="7737CDED" w14:textId="77777777" w:rsidR="00FA0C46" w:rsidRPr="00FA0C46" w:rsidRDefault="00FA0C46" w:rsidP="00FA0C46">
      <w:pPr>
        <w:pStyle w:val="Heading1"/>
      </w:pPr>
      <w:r w:rsidRPr="00FA0C46">
        <w:t>Acknowledgements</w:t>
      </w:r>
    </w:p>
    <w:p w14:paraId="32E3FBCE" w14:textId="77777777" w:rsidR="00A61CBE" w:rsidRDefault="00A61CBE" w:rsidP="00A61CBE">
      <w:pPr>
        <w:ind w:left="720"/>
      </w:pPr>
    </w:p>
    <w:p w14:paraId="6F3FD2D8" w14:textId="77777777" w:rsidR="00F22D1D" w:rsidRDefault="00C56C58" w:rsidP="00C56C58">
      <w:r>
        <w:t xml:space="preserve">This article was inspired by a </w:t>
      </w:r>
      <w:r w:rsidR="00E434CE">
        <w:t xml:space="preserve">discussion </w:t>
      </w:r>
      <w:r>
        <w:t>session on data literacy at Open Data Camp 3 in Bristol in May 2016</w:t>
      </w:r>
      <w:r w:rsidR="00D02F2F">
        <w:t xml:space="preserve"> convened by Johanna Walter and </w:t>
      </w:r>
      <w:r w:rsidR="00426C1B">
        <w:t>Nat Foo (</w:t>
      </w:r>
      <w:hyperlink r:id="rId11" w:history="1">
        <w:r w:rsidR="00426C1B" w:rsidRPr="00E545C7">
          <w:rPr>
            <w:rStyle w:val="Hyperlink"/>
          </w:rPr>
          <w:t>http://odcamp.org.uk/</w:t>
        </w:r>
      </w:hyperlink>
      <w:r w:rsidR="00426C1B">
        <w:t xml:space="preserve"> ) </w:t>
      </w:r>
    </w:p>
    <w:p w14:paraId="7E888D78" w14:textId="77777777" w:rsidR="00AE006A" w:rsidRDefault="00AE006A" w:rsidP="00AE006A">
      <w:pPr>
        <w:pStyle w:val="Heading1"/>
      </w:pPr>
    </w:p>
    <w:p w14:paraId="57A82F1A" w14:textId="77777777" w:rsidR="00AE006A" w:rsidRDefault="00AE006A" w:rsidP="00AE006A">
      <w:pPr>
        <w:pStyle w:val="Heading1"/>
      </w:pPr>
      <w:r>
        <w:t>References</w:t>
      </w:r>
    </w:p>
    <w:p w14:paraId="6A23D1AF" w14:textId="77777777" w:rsidR="00AE006A" w:rsidRDefault="00AE006A" w:rsidP="00A61CBE">
      <w:pPr>
        <w:ind w:left="720"/>
      </w:pPr>
    </w:p>
    <w:p w14:paraId="7B300D39" w14:textId="77777777" w:rsidR="00F22D1D" w:rsidRDefault="00F22D1D" w:rsidP="00A61CBE">
      <w:pPr>
        <w:ind w:left="720"/>
      </w:pPr>
    </w:p>
    <w:p w14:paraId="7D783E10"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Anderson, R., Gummer, E. S., Mandinach, E. B., &amp; Parton, B. M. (2015). Ethical and Appropriate Data Use Requires Data Literacy. </w:t>
      </w:r>
      <w:r w:rsidRPr="002B1AE9">
        <w:rPr>
          <w:rFonts w:eastAsia="Times New Roman" w:cs="Times New Roman"/>
          <w:i/>
          <w:iCs/>
          <w:noProof/>
        </w:rPr>
        <w:t>Phi Delta Kappan</w:t>
      </w:r>
      <w:r w:rsidRPr="002B1AE9">
        <w:rPr>
          <w:rFonts w:eastAsia="Times New Roman" w:cs="Times New Roman"/>
          <w:noProof/>
        </w:rPr>
        <w:t xml:space="preserve">, </w:t>
      </w:r>
      <w:r w:rsidRPr="002B1AE9">
        <w:rPr>
          <w:rFonts w:eastAsia="Times New Roman" w:cs="Times New Roman"/>
          <w:i/>
          <w:iCs/>
          <w:noProof/>
        </w:rPr>
        <w:t>96</w:t>
      </w:r>
      <w:r w:rsidRPr="002B1AE9">
        <w:rPr>
          <w:rFonts w:eastAsia="Times New Roman" w:cs="Times New Roman"/>
          <w:noProof/>
        </w:rPr>
        <w:t>(5), 25–28. http://doi.org/10.1177/0031721715569465</w:t>
      </w:r>
    </w:p>
    <w:p w14:paraId="08F1DD7B"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Ansari, S., Munir, K., &amp; Gregg, T. (2012). Impact at the “Bottom of the Pyramid”: The role of social capital in capability development and community empowerment. </w:t>
      </w:r>
      <w:r w:rsidRPr="002B1AE9">
        <w:rPr>
          <w:rFonts w:eastAsia="Times New Roman" w:cs="Times New Roman"/>
          <w:i/>
          <w:iCs/>
          <w:noProof/>
        </w:rPr>
        <w:t>Journal of Management Studies</w:t>
      </w:r>
      <w:r w:rsidRPr="002B1AE9">
        <w:rPr>
          <w:rFonts w:eastAsia="Times New Roman" w:cs="Times New Roman"/>
          <w:noProof/>
        </w:rPr>
        <w:t xml:space="preserve">, </w:t>
      </w:r>
      <w:r w:rsidRPr="002B1AE9">
        <w:rPr>
          <w:rFonts w:eastAsia="Times New Roman" w:cs="Times New Roman"/>
          <w:i/>
          <w:iCs/>
          <w:noProof/>
        </w:rPr>
        <w:t>49</w:t>
      </w:r>
      <w:r w:rsidRPr="002B1AE9">
        <w:rPr>
          <w:rFonts w:eastAsia="Times New Roman" w:cs="Times New Roman"/>
          <w:noProof/>
        </w:rPr>
        <w:t>(4), 813–842. http://doi.org/10.1111/j.1467-6486.2012.01042.x</w:t>
      </w:r>
    </w:p>
    <w:p w14:paraId="41CA804A"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Atenas, J., Havemann, L., &amp; Priego, E. (2015). Open data as open educational resources</w:t>
      </w:r>
      <w:r w:rsidRPr="002B1AE9">
        <w:rPr>
          <w:rFonts w:ascii="Calibri" w:eastAsia="Calibri" w:hAnsi="Calibri" w:cs="Calibri"/>
          <w:noProof/>
        </w:rPr>
        <w:t> </w:t>
      </w:r>
      <w:r w:rsidRPr="002B1AE9">
        <w:rPr>
          <w:rFonts w:eastAsia="Times New Roman" w:cs="Times New Roman"/>
          <w:noProof/>
        </w:rPr>
        <w:t xml:space="preserve">: Towards transversal skills and global citizenship. </w:t>
      </w:r>
      <w:r w:rsidRPr="002B1AE9">
        <w:rPr>
          <w:rFonts w:eastAsia="Times New Roman" w:cs="Times New Roman"/>
          <w:i/>
          <w:iCs/>
          <w:noProof/>
        </w:rPr>
        <w:t>Open Praxis</w:t>
      </w:r>
      <w:r w:rsidRPr="002B1AE9">
        <w:rPr>
          <w:rFonts w:eastAsia="Times New Roman" w:cs="Times New Roman"/>
          <w:noProof/>
        </w:rPr>
        <w:t xml:space="preserve">, </w:t>
      </w:r>
      <w:r w:rsidRPr="002B1AE9">
        <w:rPr>
          <w:rFonts w:eastAsia="Times New Roman" w:cs="Times New Roman"/>
          <w:i/>
          <w:iCs/>
          <w:noProof/>
        </w:rPr>
        <w:t>7</w:t>
      </w:r>
      <w:r w:rsidRPr="002B1AE9">
        <w:rPr>
          <w:rFonts w:eastAsia="Times New Roman" w:cs="Times New Roman"/>
          <w:noProof/>
        </w:rPr>
        <w:t>(4), 377–389. http://doi.org/http://dx.doi.org/10.5944/openpraxis.7.4.233</w:t>
      </w:r>
    </w:p>
    <w:p w14:paraId="10A8711A"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Bertot, J. C., Butler, B. S., &amp; Travis, D. M. (2014). Local big data. </w:t>
      </w:r>
      <w:r w:rsidRPr="002B1AE9">
        <w:rPr>
          <w:rFonts w:eastAsia="Times New Roman" w:cs="Times New Roman"/>
          <w:i/>
          <w:iCs/>
          <w:noProof/>
        </w:rPr>
        <w:t>Proceedings of the 15th Annual International Conference on Digital Government Research - Dg.o ’14</w:t>
      </w:r>
      <w:r w:rsidRPr="002B1AE9">
        <w:rPr>
          <w:rFonts w:eastAsia="Times New Roman" w:cs="Times New Roman"/>
          <w:noProof/>
        </w:rPr>
        <w:t>, 17–23. http://doi.org/10.1145/2612733.2612762</w:t>
      </w:r>
    </w:p>
    <w:p w14:paraId="29079A3C"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Bhargava, R. (2015). Architecting for Data. Retrieved September 2, 2016, from http://ssir.org/articles/entry/architecting_for_data</w:t>
      </w:r>
    </w:p>
    <w:p w14:paraId="23B4B495"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Bradshaw, L. (2014). Beyond Data Science: Advancing Data Literacy – Made by Many – Medium. Retrieved September 2, 2016, from https://medium.com/the-many/moving-from-data-science-to-data-literacy-a2f181ba4167#.ayhkrcoop</w:t>
      </w:r>
    </w:p>
    <w:p w14:paraId="6680883A"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Carlson, J., Fosmire, M., Miller, C. C., &amp; Nelson, M. S. (2011). Determining Data Information Literacy Needs: A Study of Students and Research Faculty. </w:t>
      </w:r>
      <w:r w:rsidRPr="002B1AE9">
        <w:rPr>
          <w:rFonts w:eastAsia="Times New Roman" w:cs="Times New Roman"/>
          <w:i/>
          <w:iCs/>
          <w:noProof/>
        </w:rPr>
        <w:t>Portal: Libraries and the Academy</w:t>
      </w:r>
      <w:r w:rsidRPr="002B1AE9">
        <w:rPr>
          <w:rFonts w:eastAsia="Times New Roman" w:cs="Times New Roman"/>
          <w:noProof/>
        </w:rPr>
        <w:t xml:space="preserve">, </w:t>
      </w:r>
      <w:r w:rsidRPr="002B1AE9">
        <w:rPr>
          <w:rFonts w:eastAsia="Times New Roman" w:cs="Times New Roman"/>
          <w:i/>
          <w:iCs/>
          <w:noProof/>
        </w:rPr>
        <w:t>11</w:t>
      </w:r>
      <w:r w:rsidRPr="002B1AE9">
        <w:rPr>
          <w:rFonts w:eastAsia="Times New Roman" w:cs="Times New Roman"/>
          <w:noProof/>
        </w:rPr>
        <w:t>(2), 629–657. http://doi.org/10.1353/pla.2011.0022</w:t>
      </w:r>
    </w:p>
    <w:p w14:paraId="6BF6F993"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Coulton, C. J., Goerge, R., Putnam-hornstein, E., &amp; de Haan, B. (2015). </w:t>
      </w:r>
      <w:r w:rsidRPr="002B1AE9">
        <w:rPr>
          <w:rFonts w:eastAsia="Times New Roman" w:cs="Times New Roman"/>
          <w:i/>
          <w:iCs/>
          <w:noProof/>
        </w:rPr>
        <w:t>Harnessing Big Data for Social Good</w:t>
      </w:r>
      <w:r w:rsidRPr="002B1AE9">
        <w:rPr>
          <w:rFonts w:ascii="Calibri" w:eastAsia="Calibri" w:hAnsi="Calibri" w:cs="Calibri"/>
          <w:i/>
          <w:iCs/>
          <w:noProof/>
        </w:rPr>
        <w:t> </w:t>
      </w:r>
      <w:r w:rsidRPr="002B1AE9">
        <w:rPr>
          <w:rFonts w:eastAsia="Times New Roman" w:cs="Times New Roman"/>
          <w:i/>
          <w:iCs/>
          <w:noProof/>
        </w:rPr>
        <w:t>: A Grand Challenge for Social Work</w:t>
      </w:r>
      <w:r w:rsidRPr="002B1AE9">
        <w:rPr>
          <w:rFonts w:eastAsia="Times New Roman" w:cs="Times New Roman"/>
          <w:noProof/>
        </w:rPr>
        <w:t>.</w:t>
      </w:r>
    </w:p>
    <w:p w14:paraId="7CD17ACE"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Data-Pop Alliance. (2015). </w:t>
      </w:r>
      <w:r w:rsidRPr="002B1AE9">
        <w:rPr>
          <w:rFonts w:eastAsia="Times New Roman" w:cs="Times New Roman"/>
          <w:i/>
          <w:iCs/>
          <w:noProof/>
        </w:rPr>
        <w:t>Beyond Data Literacy: Reinventing Community Engagement and Empowerment in the Age of Data</w:t>
      </w:r>
      <w:r w:rsidRPr="002B1AE9">
        <w:rPr>
          <w:rFonts w:eastAsia="Times New Roman" w:cs="Times New Roman"/>
          <w:noProof/>
        </w:rPr>
        <w:t>.</w:t>
      </w:r>
    </w:p>
    <w:p w14:paraId="0B611B2A"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Davies, T., Perini, F., &amp; Alonso, J. (2016). Researching the emerging impacts of open data ODDC conceptual framework. </w:t>
      </w:r>
      <w:r w:rsidRPr="002B1AE9">
        <w:rPr>
          <w:rFonts w:eastAsia="Times New Roman" w:cs="Times New Roman"/>
          <w:i/>
          <w:iCs/>
          <w:noProof/>
        </w:rPr>
        <w:t>The Journal of Community Informatics</w:t>
      </w:r>
      <w:r w:rsidRPr="002B1AE9">
        <w:rPr>
          <w:rFonts w:eastAsia="Times New Roman" w:cs="Times New Roman"/>
          <w:noProof/>
        </w:rPr>
        <w:t xml:space="preserve">, </w:t>
      </w:r>
      <w:r w:rsidRPr="002B1AE9">
        <w:rPr>
          <w:rFonts w:eastAsia="Times New Roman" w:cs="Times New Roman"/>
          <w:i/>
          <w:iCs/>
          <w:noProof/>
        </w:rPr>
        <w:t>12</w:t>
      </w:r>
      <w:r w:rsidRPr="002B1AE9">
        <w:rPr>
          <w:rFonts w:eastAsia="Times New Roman" w:cs="Times New Roman"/>
          <w:noProof/>
        </w:rPr>
        <w:t>, 1–37.</w:t>
      </w:r>
    </w:p>
    <w:p w14:paraId="275BC425"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Erwin, R. (2015). Data Literacy: Real-World Learning Through Problem-Solving With Data Sets. </w:t>
      </w:r>
      <w:r w:rsidRPr="002B1AE9">
        <w:rPr>
          <w:rFonts w:eastAsia="Times New Roman" w:cs="Times New Roman"/>
          <w:i/>
          <w:iCs/>
          <w:noProof/>
        </w:rPr>
        <w:t>American Secondary Education</w:t>
      </w:r>
      <w:r w:rsidRPr="002B1AE9">
        <w:rPr>
          <w:rFonts w:eastAsia="Times New Roman" w:cs="Times New Roman"/>
          <w:noProof/>
        </w:rPr>
        <w:t xml:space="preserve">, </w:t>
      </w:r>
      <w:r w:rsidRPr="002B1AE9">
        <w:rPr>
          <w:rFonts w:eastAsia="Times New Roman" w:cs="Times New Roman"/>
          <w:i/>
          <w:iCs/>
          <w:noProof/>
        </w:rPr>
        <w:t>43</w:t>
      </w:r>
      <w:r w:rsidRPr="002B1AE9">
        <w:rPr>
          <w:rFonts w:eastAsia="Times New Roman" w:cs="Times New Roman"/>
          <w:noProof/>
        </w:rPr>
        <w:t>(2), 18–26. Retrieved from http://search.ebscohost.com/login.aspx?direct=true&amp;db=eue&amp;AN=103298736&amp;site=ehost-live</w:t>
      </w:r>
    </w:p>
    <w:p w14:paraId="06808787"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Federer, L. M., Lu, Y.-L., &amp; Joubert, D. J. (2016). Data literacy training needs of biomedical researchers. </w:t>
      </w:r>
      <w:r w:rsidRPr="002B1AE9">
        <w:rPr>
          <w:rFonts w:eastAsia="Times New Roman" w:cs="Times New Roman"/>
          <w:i/>
          <w:iCs/>
          <w:noProof/>
        </w:rPr>
        <w:t>Journal of the Medical Library Association</w:t>
      </w:r>
      <w:r w:rsidRPr="002B1AE9">
        <w:rPr>
          <w:rFonts w:ascii="Calibri" w:eastAsia="Calibri" w:hAnsi="Calibri" w:cs="Calibri"/>
          <w:i/>
          <w:iCs/>
          <w:noProof/>
        </w:rPr>
        <w:t> </w:t>
      </w:r>
      <w:r w:rsidRPr="002B1AE9">
        <w:rPr>
          <w:rFonts w:eastAsia="Times New Roman" w:cs="Times New Roman"/>
          <w:i/>
          <w:iCs/>
          <w:noProof/>
        </w:rPr>
        <w:t>: JMLA</w:t>
      </w:r>
      <w:r w:rsidRPr="002B1AE9">
        <w:rPr>
          <w:rFonts w:eastAsia="Times New Roman" w:cs="Times New Roman"/>
          <w:noProof/>
        </w:rPr>
        <w:t xml:space="preserve">, </w:t>
      </w:r>
      <w:r w:rsidRPr="002B1AE9">
        <w:rPr>
          <w:rFonts w:eastAsia="Times New Roman" w:cs="Times New Roman"/>
          <w:i/>
          <w:iCs/>
          <w:noProof/>
        </w:rPr>
        <w:t>104</w:t>
      </w:r>
      <w:r w:rsidRPr="002B1AE9">
        <w:rPr>
          <w:rFonts w:eastAsia="Times New Roman" w:cs="Times New Roman"/>
          <w:noProof/>
        </w:rPr>
        <w:t>(1), 52–7. http://doi.org/10.3163/1536-5050.104.1.008</w:t>
      </w:r>
    </w:p>
    <w:p w14:paraId="0BDBEF7B"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Fonticiaro, K., &amp; Oehrli, J. A. (2016). Why data literacy matters. </w:t>
      </w:r>
      <w:r w:rsidRPr="002B1AE9">
        <w:rPr>
          <w:rFonts w:eastAsia="Times New Roman" w:cs="Times New Roman"/>
          <w:i/>
          <w:iCs/>
          <w:noProof/>
        </w:rPr>
        <w:t>ALA Knowldege Quest</w:t>
      </w:r>
      <w:r w:rsidRPr="002B1AE9">
        <w:rPr>
          <w:rFonts w:eastAsia="Times New Roman" w:cs="Times New Roman"/>
          <w:noProof/>
        </w:rPr>
        <w:t xml:space="preserve">, </w:t>
      </w:r>
      <w:r w:rsidRPr="002B1AE9">
        <w:rPr>
          <w:rFonts w:eastAsia="Times New Roman" w:cs="Times New Roman"/>
          <w:i/>
          <w:iCs/>
          <w:noProof/>
        </w:rPr>
        <w:t>44</w:t>
      </w:r>
      <w:r w:rsidRPr="002B1AE9">
        <w:rPr>
          <w:rFonts w:eastAsia="Times New Roman" w:cs="Times New Roman"/>
          <w:noProof/>
        </w:rPr>
        <w:t>(5), 20–28.</w:t>
      </w:r>
    </w:p>
    <w:p w14:paraId="0F7F0652"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IODC. (2015). </w:t>
      </w:r>
      <w:r w:rsidRPr="002B1AE9">
        <w:rPr>
          <w:rFonts w:eastAsia="Times New Roman" w:cs="Times New Roman"/>
          <w:i/>
          <w:iCs/>
          <w:noProof/>
        </w:rPr>
        <w:t>Enabling the Data Revolution</w:t>
      </w:r>
      <w:r w:rsidRPr="002B1AE9">
        <w:rPr>
          <w:rFonts w:eastAsia="Times New Roman" w:cs="Times New Roman"/>
          <w:noProof/>
        </w:rPr>
        <w:t>. Retrieved from http://1a9vrva76sx19qtvg1ddvt6f.wpengine.netdna-cdn.com/wp-content/uploads/2015/11/opendatacon-report-en-web.pdf</w:t>
      </w:r>
    </w:p>
    <w:p w14:paraId="172239F4"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Kingsley, G. T., Coulton, C. J., &amp; Pettit, K. L. S. (2014). </w:t>
      </w:r>
      <w:r w:rsidRPr="002B1AE9">
        <w:rPr>
          <w:rFonts w:eastAsia="Times New Roman" w:cs="Times New Roman"/>
          <w:i/>
          <w:iCs/>
          <w:noProof/>
        </w:rPr>
        <w:t>Strengthening Communities with Neighborhood Data</w:t>
      </w:r>
      <w:r w:rsidRPr="002B1AE9">
        <w:rPr>
          <w:rFonts w:eastAsia="Times New Roman" w:cs="Times New Roman"/>
          <w:noProof/>
        </w:rPr>
        <w:t>. http://doi.org/10.1007/s13398-014-0173-7.2</w:t>
      </w:r>
    </w:p>
    <w:p w14:paraId="17160808"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Kingsley, G. T., Pettit, K. L., &amp; Hendey, L. (2013). </w:t>
      </w:r>
      <w:r w:rsidRPr="002B1AE9">
        <w:rPr>
          <w:rFonts w:eastAsia="Times New Roman" w:cs="Times New Roman"/>
          <w:i/>
          <w:iCs/>
          <w:noProof/>
        </w:rPr>
        <w:t>Strengthening Local Capacity For Data-Driven Decisionmaking</w:t>
      </w:r>
      <w:r w:rsidRPr="002B1AE9">
        <w:rPr>
          <w:rFonts w:eastAsia="Times New Roman" w:cs="Times New Roman"/>
          <w:noProof/>
        </w:rPr>
        <w:t>. Retrieved from http://www.urban.org/UploadedPDF/412883-Strengthening-Local-Capacity-For-Data-Driven-Decisionmaking.pdf</w:t>
      </w:r>
    </w:p>
    <w:p w14:paraId="433ECBD6"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Koltay, T. (2015). Data literacy: in search of a name and identity. </w:t>
      </w:r>
      <w:r w:rsidRPr="002B1AE9">
        <w:rPr>
          <w:rFonts w:eastAsia="Times New Roman" w:cs="Times New Roman"/>
          <w:i/>
          <w:iCs/>
          <w:noProof/>
        </w:rPr>
        <w:t>Journal of Documentation</w:t>
      </w:r>
      <w:r w:rsidRPr="002B1AE9">
        <w:rPr>
          <w:rFonts w:eastAsia="Times New Roman" w:cs="Times New Roman"/>
          <w:noProof/>
        </w:rPr>
        <w:t xml:space="preserve">, </w:t>
      </w:r>
      <w:r w:rsidRPr="002B1AE9">
        <w:rPr>
          <w:rFonts w:eastAsia="Times New Roman" w:cs="Times New Roman"/>
          <w:i/>
          <w:iCs/>
          <w:noProof/>
        </w:rPr>
        <w:t>71</w:t>
      </w:r>
      <w:r w:rsidRPr="002B1AE9">
        <w:rPr>
          <w:rFonts w:eastAsia="Times New Roman" w:cs="Times New Roman"/>
          <w:noProof/>
        </w:rPr>
        <w:t>(2), 401–415. http://doi.org/10.1108/JD-02-2014-0026</w:t>
      </w:r>
    </w:p>
    <w:p w14:paraId="5B1E9BAB"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Lanzi, D. (2007). Capabilities, human capital and education. </w:t>
      </w:r>
      <w:r w:rsidRPr="002B1AE9">
        <w:rPr>
          <w:rFonts w:eastAsia="Times New Roman" w:cs="Times New Roman"/>
          <w:i/>
          <w:iCs/>
          <w:noProof/>
        </w:rPr>
        <w:t>Journal of Socio-Economics</w:t>
      </w:r>
      <w:r w:rsidRPr="002B1AE9">
        <w:rPr>
          <w:rFonts w:eastAsia="Times New Roman" w:cs="Times New Roman"/>
          <w:noProof/>
        </w:rPr>
        <w:t xml:space="preserve">, </w:t>
      </w:r>
      <w:r w:rsidRPr="002B1AE9">
        <w:rPr>
          <w:rFonts w:eastAsia="Times New Roman" w:cs="Times New Roman"/>
          <w:i/>
          <w:iCs/>
          <w:noProof/>
        </w:rPr>
        <w:t>36</w:t>
      </w:r>
      <w:r w:rsidRPr="002B1AE9">
        <w:rPr>
          <w:rFonts w:eastAsia="Times New Roman" w:cs="Times New Roman"/>
          <w:noProof/>
        </w:rPr>
        <w:t>(3), 424–435. http://doi.org/10.1016/j.socec.2006.12.005</w:t>
      </w:r>
    </w:p>
    <w:p w14:paraId="4046E189"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Mandinach, E. B., &amp; Gummer, E. S. (2013). A Systemic View of Implementing Data Literacy in Educator Preparation. </w:t>
      </w:r>
      <w:r w:rsidRPr="002B1AE9">
        <w:rPr>
          <w:rFonts w:eastAsia="Times New Roman" w:cs="Times New Roman"/>
          <w:i/>
          <w:iCs/>
          <w:noProof/>
        </w:rPr>
        <w:t>Educational Researcher</w:t>
      </w:r>
      <w:r w:rsidRPr="002B1AE9">
        <w:rPr>
          <w:rFonts w:eastAsia="Times New Roman" w:cs="Times New Roman"/>
          <w:noProof/>
        </w:rPr>
        <w:t xml:space="preserve">, </w:t>
      </w:r>
      <w:r w:rsidRPr="002B1AE9">
        <w:rPr>
          <w:rFonts w:eastAsia="Times New Roman" w:cs="Times New Roman"/>
          <w:i/>
          <w:iCs/>
          <w:noProof/>
        </w:rPr>
        <w:t>42</w:t>
      </w:r>
      <w:r w:rsidRPr="002B1AE9">
        <w:rPr>
          <w:rFonts w:eastAsia="Times New Roman" w:cs="Times New Roman"/>
          <w:noProof/>
        </w:rPr>
        <w:t>(1), 30–37. http://doi.org/10.3102/0013189X12459803</w:t>
      </w:r>
    </w:p>
    <w:p w14:paraId="7A472C9E"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Nussbaum, M. (2003). Capabilities As Fundamental Entitlements: Sen and Social Justice. </w:t>
      </w:r>
      <w:r w:rsidRPr="002B1AE9">
        <w:rPr>
          <w:rFonts w:eastAsia="Times New Roman" w:cs="Times New Roman"/>
          <w:i/>
          <w:iCs/>
          <w:noProof/>
        </w:rPr>
        <w:t>Feminist Economics</w:t>
      </w:r>
      <w:r w:rsidRPr="002B1AE9">
        <w:rPr>
          <w:rFonts w:eastAsia="Times New Roman" w:cs="Times New Roman"/>
          <w:noProof/>
        </w:rPr>
        <w:t xml:space="preserve">, </w:t>
      </w:r>
      <w:r w:rsidRPr="002B1AE9">
        <w:rPr>
          <w:rFonts w:eastAsia="Times New Roman" w:cs="Times New Roman"/>
          <w:i/>
          <w:iCs/>
          <w:noProof/>
        </w:rPr>
        <w:t>9</w:t>
      </w:r>
      <w:r w:rsidRPr="002B1AE9">
        <w:rPr>
          <w:rFonts w:eastAsia="Times New Roman" w:cs="Times New Roman"/>
          <w:noProof/>
        </w:rPr>
        <w:t>(2–3), 33–59. http://doi.org/10.1080/1354570022000077926</w:t>
      </w:r>
    </w:p>
    <w:p w14:paraId="1787A02A"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Prado, J., &amp; Marzal, M. (2013). Incorporating data literacy into information literacy programs: Core competencies and contents. </w:t>
      </w:r>
      <w:r w:rsidRPr="002B1AE9">
        <w:rPr>
          <w:rFonts w:eastAsia="Times New Roman" w:cs="Times New Roman"/>
          <w:i/>
          <w:iCs/>
          <w:noProof/>
        </w:rPr>
        <w:t>Libri</w:t>
      </w:r>
      <w:r w:rsidRPr="002B1AE9">
        <w:rPr>
          <w:rFonts w:eastAsia="Times New Roman" w:cs="Times New Roman"/>
          <w:noProof/>
        </w:rPr>
        <w:t xml:space="preserve">, </w:t>
      </w:r>
      <w:r w:rsidRPr="002B1AE9">
        <w:rPr>
          <w:rFonts w:eastAsia="Times New Roman" w:cs="Times New Roman"/>
          <w:i/>
          <w:iCs/>
          <w:noProof/>
        </w:rPr>
        <w:t>63</w:t>
      </w:r>
      <w:r w:rsidRPr="002B1AE9">
        <w:rPr>
          <w:rFonts w:eastAsia="Times New Roman" w:cs="Times New Roman"/>
          <w:noProof/>
        </w:rPr>
        <w:t>(2), 123–134. http://doi.org/10.1515/libri-2013-0010</w:t>
      </w:r>
    </w:p>
    <w:p w14:paraId="49181AFD"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Robeyns, I. (2011). The Capability Approach. Retrieved September 16, 2016, from http://plato.stanford.edu/entries/capability-approach/</w:t>
      </w:r>
    </w:p>
    <w:p w14:paraId="3CD02A6F"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Rose, B. (2016). Document Clustering with Python. Retrieved September 12, 2016, from http://brandonrose.org/clustering</w:t>
      </w:r>
    </w:p>
    <w:p w14:paraId="18F8CBF4"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Sen, A. (2005). Human Rights and Capabilities. </w:t>
      </w:r>
      <w:r w:rsidRPr="002B1AE9">
        <w:rPr>
          <w:rFonts w:eastAsia="Times New Roman" w:cs="Times New Roman"/>
          <w:i/>
          <w:iCs/>
          <w:noProof/>
        </w:rPr>
        <w:t>Journal of Human Development</w:t>
      </w:r>
      <w:r w:rsidRPr="002B1AE9">
        <w:rPr>
          <w:rFonts w:eastAsia="Times New Roman" w:cs="Times New Roman"/>
          <w:noProof/>
        </w:rPr>
        <w:t xml:space="preserve">, </w:t>
      </w:r>
      <w:r w:rsidRPr="002B1AE9">
        <w:rPr>
          <w:rFonts w:eastAsia="Times New Roman" w:cs="Times New Roman"/>
          <w:i/>
          <w:iCs/>
          <w:noProof/>
        </w:rPr>
        <w:t>6</w:t>
      </w:r>
      <w:r w:rsidRPr="002B1AE9">
        <w:rPr>
          <w:rFonts w:eastAsia="Times New Roman" w:cs="Times New Roman"/>
          <w:noProof/>
        </w:rPr>
        <w:t>(2), 151–166. http://doi.org/10.1080/14649880500120491</w:t>
      </w:r>
    </w:p>
    <w:p w14:paraId="1BB50B23"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Shinn, M. (2015). Community Psychology and the Capabilities Approach. </w:t>
      </w:r>
      <w:r w:rsidRPr="002B1AE9">
        <w:rPr>
          <w:rFonts w:eastAsia="Times New Roman" w:cs="Times New Roman"/>
          <w:i/>
          <w:iCs/>
          <w:noProof/>
        </w:rPr>
        <w:t>American Journal of Community Psychology</w:t>
      </w:r>
      <w:r w:rsidRPr="002B1AE9">
        <w:rPr>
          <w:rFonts w:eastAsia="Times New Roman" w:cs="Times New Roman"/>
          <w:noProof/>
        </w:rPr>
        <w:t xml:space="preserve">, </w:t>
      </w:r>
      <w:r w:rsidRPr="002B1AE9">
        <w:rPr>
          <w:rFonts w:eastAsia="Times New Roman" w:cs="Times New Roman"/>
          <w:i/>
          <w:iCs/>
          <w:noProof/>
        </w:rPr>
        <w:t>55</w:t>
      </w:r>
      <w:r w:rsidRPr="002B1AE9">
        <w:rPr>
          <w:rFonts w:eastAsia="Times New Roman" w:cs="Times New Roman"/>
          <w:noProof/>
        </w:rPr>
        <w:t>(3–4), 243–252. http://doi.org/10.1007/s10464-015-9713-3</w:t>
      </w:r>
    </w:p>
    <w:p w14:paraId="0B78F9BC"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Slater, D. (2016). Research Results Part 1: Defining Data Literacy. Retrieved September 2, 2016, from http://schoolofdata.org/2016/01/08/research-results-part-1-defining-data-literacy/</w:t>
      </w:r>
    </w:p>
    <w:p w14:paraId="3B1167BB"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Stillman, L., &amp; Denison, T. (2014). The Capability Approach Community Informatics. </w:t>
      </w:r>
      <w:r w:rsidRPr="002B1AE9">
        <w:rPr>
          <w:rFonts w:eastAsia="Times New Roman" w:cs="Times New Roman"/>
          <w:i/>
          <w:iCs/>
          <w:noProof/>
        </w:rPr>
        <w:t>The Information Society</w:t>
      </w:r>
      <w:r w:rsidRPr="002B1AE9">
        <w:rPr>
          <w:rFonts w:eastAsia="Times New Roman" w:cs="Times New Roman"/>
          <w:noProof/>
        </w:rPr>
        <w:t xml:space="preserve">, </w:t>
      </w:r>
      <w:r w:rsidRPr="002B1AE9">
        <w:rPr>
          <w:rFonts w:eastAsia="Times New Roman" w:cs="Times New Roman"/>
          <w:i/>
          <w:iCs/>
          <w:noProof/>
        </w:rPr>
        <w:t>30</w:t>
      </w:r>
      <w:r w:rsidRPr="002B1AE9">
        <w:rPr>
          <w:rFonts w:eastAsia="Times New Roman" w:cs="Times New Roman"/>
          <w:noProof/>
        </w:rPr>
        <w:t>(3), 200–211. http://doi.org/10.1080/01972243.2014.896687</w:t>
      </w:r>
    </w:p>
    <w:p w14:paraId="25C540E2" w14:textId="77777777" w:rsidR="002B1AE9" w:rsidRPr="002B1AE9" w:rsidRDefault="002B1AE9" w:rsidP="002B1AE9">
      <w:pPr>
        <w:widowControl w:val="0"/>
        <w:autoSpaceDE w:val="0"/>
        <w:autoSpaceDN w:val="0"/>
        <w:adjustRightInd w:val="0"/>
        <w:ind w:left="480" w:hanging="480"/>
        <w:rPr>
          <w:rFonts w:eastAsia="Times New Roman" w:cs="Times New Roman"/>
          <w:noProof/>
        </w:rPr>
      </w:pPr>
      <w:r w:rsidRPr="002B1AE9">
        <w:rPr>
          <w:rFonts w:eastAsia="Times New Roman" w:cs="Times New Roman"/>
          <w:noProof/>
        </w:rPr>
        <w:t xml:space="preserve">Teal, T. K., Cranston, K. A., Lapp, H., White, E. P., Wilson, G., Ram, K., &amp; Pawlik, A. (2015). Data Carpentry: Workshops to Increase Data Literacy for Researchers. </w:t>
      </w:r>
      <w:r w:rsidRPr="002B1AE9">
        <w:rPr>
          <w:rFonts w:eastAsia="Times New Roman" w:cs="Times New Roman"/>
          <w:i/>
          <w:iCs/>
          <w:noProof/>
        </w:rPr>
        <w:t>International Journal of Digital Curation</w:t>
      </w:r>
      <w:r w:rsidRPr="002B1AE9">
        <w:rPr>
          <w:rFonts w:eastAsia="Times New Roman" w:cs="Times New Roman"/>
          <w:noProof/>
        </w:rPr>
        <w:t xml:space="preserve">, </w:t>
      </w:r>
      <w:r w:rsidRPr="002B1AE9">
        <w:rPr>
          <w:rFonts w:eastAsia="Times New Roman" w:cs="Times New Roman"/>
          <w:i/>
          <w:iCs/>
          <w:noProof/>
        </w:rPr>
        <w:t>10</w:t>
      </w:r>
      <w:r w:rsidRPr="002B1AE9">
        <w:rPr>
          <w:rFonts w:eastAsia="Times New Roman" w:cs="Times New Roman"/>
          <w:noProof/>
        </w:rPr>
        <w:t>, 135–143. http://doi.org/10.2218/ijdc.v10i1.351</w:t>
      </w:r>
    </w:p>
    <w:p w14:paraId="1B56F0AD" w14:textId="77777777" w:rsidR="002B1AE9" w:rsidRPr="002B1AE9" w:rsidRDefault="002B1AE9" w:rsidP="002B1AE9">
      <w:pPr>
        <w:widowControl w:val="0"/>
        <w:autoSpaceDE w:val="0"/>
        <w:autoSpaceDN w:val="0"/>
        <w:adjustRightInd w:val="0"/>
        <w:ind w:left="480" w:hanging="480"/>
        <w:rPr>
          <w:noProof/>
        </w:rPr>
      </w:pPr>
      <w:r w:rsidRPr="002B1AE9">
        <w:rPr>
          <w:rFonts w:eastAsia="Times New Roman" w:cs="Times New Roman"/>
          <w:noProof/>
        </w:rPr>
        <w:t xml:space="preserve">Tygel, A. F., Campos, M. L. M., &amp; de Alvear, C. A. S. (2015). Teaching Open Data for Social Movements: a Research Strategy. </w:t>
      </w:r>
      <w:r w:rsidRPr="002B1AE9">
        <w:rPr>
          <w:rFonts w:eastAsia="Times New Roman" w:cs="Times New Roman"/>
          <w:i/>
          <w:iCs/>
          <w:noProof/>
        </w:rPr>
        <w:t>The Journal of Community Informatics</w:t>
      </w:r>
      <w:r w:rsidRPr="002B1AE9">
        <w:rPr>
          <w:rFonts w:eastAsia="Times New Roman" w:cs="Times New Roman"/>
          <w:noProof/>
        </w:rPr>
        <w:t xml:space="preserve">, </w:t>
      </w:r>
      <w:r w:rsidRPr="002B1AE9">
        <w:rPr>
          <w:rFonts w:eastAsia="Times New Roman" w:cs="Times New Roman"/>
          <w:i/>
          <w:iCs/>
          <w:noProof/>
        </w:rPr>
        <w:t>11</w:t>
      </w:r>
      <w:r w:rsidRPr="002B1AE9">
        <w:rPr>
          <w:rFonts w:eastAsia="Times New Roman" w:cs="Times New Roman"/>
          <w:noProof/>
        </w:rPr>
        <w:t>(3).</w:t>
      </w:r>
    </w:p>
    <w:p w14:paraId="715BD6C4" w14:textId="77777777" w:rsidR="00A61CBE" w:rsidRPr="00F6700F" w:rsidRDefault="00A61CBE" w:rsidP="002B1AE9">
      <w:pPr>
        <w:widowControl w:val="0"/>
        <w:autoSpaceDE w:val="0"/>
        <w:autoSpaceDN w:val="0"/>
        <w:adjustRightInd w:val="0"/>
        <w:ind w:left="480" w:hanging="480"/>
      </w:pPr>
    </w:p>
    <w:sectPr w:rsidR="00A61CBE" w:rsidRPr="00F6700F" w:rsidSect="0076543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6E4DB" w14:textId="77777777" w:rsidR="00154FF4" w:rsidRDefault="00154FF4" w:rsidP="00F32D47">
      <w:r>
        <w:separator/>
      </w:r>
    </w:p>
  </w:endnote>
  <w:endnote w:type="continuationSeparator" w:id="0">
    <w:p w14:paraId="5A71C599" w14:textId="77777777" w:rsidR="00154FF4" w:rsidRDefault="00154FF4" w:rsidP="00F3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2E850" w14:textId="77777777" w:rsidR="00154FF4" w:rsidRDefault="00154FF4" w:rsidP="00F32D47">
      <w:r>
        <w:separator/>
      </w:r>
    </w:p>
  </w:footnote>
  <w:footnote w:type="continuationSeparator" w:id="0">
    <w:p w14:paraId="543172AC" w14:textId="77777777" w:rsidR="00154FF4" w:rsidRDefault="00154FF4" w:rsidP="00F32D47">
      <w:r>
        <w:continuationSeparator/>
      </w:r>
    </w:p>
  </w:footnote>
  <w:footnote w:id="1">
    <w:p w14:paraId="7591791D" w14:textId="77777777" w:rsidR="003C0AC3" w:rsidRDefault="003C0AC3">
      <w:pPr>
        <w:pStyle w:val="FootnoteText"/>
      </w:pPr>
      <w:r>
        <w:rPr>
          <w:rStyle w:val="FootnoteReference"/>
        </w:rPr>
        <w:footnoteRef/>
      </w:r>
      <w:r>
        <w:t xml:space="preserve"> </w:t>
      </w:r>
      <w:hyperlink r:id="rId1" w:history="1">
        <w:r w:rsidRPr="0005558E">
          <w:rPr>
            <w:rStyle w:val="Hyperlink"/>
          </w:rPr>
          <w:t>http://schoolofdata.org/2016/02/11/research-results-part-6-data-literacy-research-references-and-resources/</w:t>
        </w:r>
      </w:hyperlink>
      <w:r>
        <w:t xml:space="preserve"> </w:t>
      </w:r>
    </w:p>
  </w:footnote>
  <w:footnote w:id="2">
    <w:p w14:paraId="68E03BD4" w14:textId="77777777" w:rsidR="00F32D47" w:rsidRDefault="00F32D47">
      <w:pPr>
        <w:pStyle w:val="FootnoteText"/>
      </w:pPr>
      <w:r>
        <w:rPr>
          <w:rStyle w:val="FootnoteReference"/>
        </w:rPr>
        <w:footnoteRef/>
      </w:r>
      <w:r>
        <w:t xml:space="preserve"> </w:t>
      </w:r>
      <w:hyperlink r:id="rId2" w:history="1">
        <w:r w:rsidRPr="00105989">
          <w:rPr>
            <w:rStyle w:val="Hyperlink"/>
          </w:rPr>
          <w:t>https://en.m.wikipedia.org/wiki/Pdftotext</w:t>
        </w:r>
      </w:hyperlink>
      <w:r>
        <w:t xml:space="preserve"> </w:t>
      </w:r>
    </w:p>
  </w:footnote>
  <w:footnote w:id="3">
    <w:p w14:paraId="7D641C3D" w14:textId="77777777" w:rsidR="00866F3D" w:rsidRDefault="00866F3D" w:rsidP="00866F3D">
      <w:r>
        <w:rPr>
          <w:rStyle w:val="FootnoteReference"/>
        </w:rPr>
        <w:footnoteRef/>
      </w:r>
      <w:r>
        <w:t xml:space="preserve"> The repository for this analysis is available at </w:t>
      </w:r>
      <w:hyperlink r:id="rId3" w:history="1">
        <w:r w:rsidRPr="00105989">
          <w:rPr>
            <w:rStyle w:val="Hyperlink"/>
          </w:rPr>
          <w:t>https://github.com/paulusm/datalit-documents</w:t>
        </w:r>
      </w:hyperlink>
      <w:r>
        <w:t xml:space="preserve">. </w:t>
      </w:r>
    </w:p>
    <w:p w14:paraId="049C4367" w14:textId="77777777" w:rsidR="00866F3D" w:rsidRDefault="00866F3D">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E29DC"/>
    <w:multiLevelType w:val="hybridMultilevel"/>
    <w:tmpl w:val="93662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D15D17"/>
    <w:multiLevelType w:val="hybridMultilevel"/>
    <w:tmpl w:val="C14CFDC6"/>
    <w:lvl w:ilvl="0" w:tplc="5E16EFE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670CC4"/>
    <w:multiLevelType w:val="hybridMultilevel"/>
    <w:tmpl w:val="366C2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D2"/>
    <w:rsid w:val="00011B67"/>
    <w:rsid w:val="0002262A"/>
    <w:rsid w:val="000343A3"/>
    <w:rsid w:val="00055543"/>
    <w:rsid w:val="0006410A"/>
    <w:rsid w:val="00064DCD"/>
    <w:rsid w:val="000807E7"/>
    <w:rsid w:val="0008230B"/>
    <w:rsid w:val="00084E15"/>
    <w:rsid w:val="000A0941"/>
    <w:rsid w:val="000A6CEC"/>
    <w:rsid w:val="000B18F8"/>
    <w:rsid w:val="000C4011"/>
    <w:rsid w:val="000C5162"/>
    <w:rsid w:val="000D73FD"/>
    <w:rsid w:val="000E6FF5"/>
    <w:rsid w:val="00115507"/>
    <w:rsid w:val="001258F6"/>
    <w:rsid w:val="001353C1"/>
    <w:rsid w:val="00154FF4"/>
    <w:rsid w:val="00172ED2"/>
    <w:rsid w:val="00190771"/>
    <w:rsid w:val="001B372C"/>
    <w:rsid w:val="001D2F57"/>
    <w:rsid w:val="001D53D2"/>
    <w:rsid w:val="001E2EED"/>
    <w:rsid w:val="001F07CC"/>
    <w:rsid w:val="00215B73"/>
    <w:rsid w:val="00233165"/>
    <w:rsid w:val="00250186"/>
    <w:rsid w:val="002650FC"/>
    <w:rsid w:val="00284E8A"/>
    <w:rsid w:val="0029440D"/>
    <w:rsid w:val="002A4BE0"/>
    <w:rsid w:val="002B1AE9"/>
    <w:rsid w:val="002B1DF2"/>
    <w:rsid w:val="002B21BE"/>
    <w:rsid w:val="002B4451"/>
    <w:rsid w:val="002C2097"/>
    <w:rsid w:val="002E36FD"/>
    <w:rsid w:val="002E7D9D"/>
    <w:rsid w:val="003078BD"/>
    <w:rsid w:val="003119D2"/>
    <w:rsid w:val="00312901"/>
    <w:rsid w:val="00313C3A"/>
    <w:rsid w:val="003219AB"/>
    <w:rsid w:val="00323D20"/>
    <w:rsid w:val="00324F4E"/>
    <w:rsid w:val="003341CD"/>
    <w:rsid w:val="00335D52"/>
    <w:rsid w:val="0036588D"/>
    <w:rsid w:val="00366212"/>
    <w:rsid w:val="00366C0B"/>
    <w:rsid w:val="00375BF2"/>
    <w:rsid w:val="0038094B"/>
    <w:rsid w:val="003A15C8"/>
    <w:rsid w:val="003B3DF1"/>
    <w:rsid w:val="003C0AC3"/>
    <w:rsid w:val="003C1252"/>
    <w:rsid w:val="003C3662"/>
    <w:rsid w:val="003C6A56"/>
    <w:rsid w:val="003D39AB"/>
    <w:rsid w:val="003D581F"/>
    <w:rsid w:val="003E0106"/>
    <w:rsid w:val="003E41FD"/>
    <w:rsid w:val="003F42C0"/>
    <w:rsid w:val="00426C1B"/>
    <w:rsid w:val="004314F8"/>
    <w:rsid w:val="00444DAB"/>
    <w:rsid w:val="00445C2A"/>
    <w:rsid w:val="00463C34"/>
    <w:rsid w:val="004A01F4"/>
    <w:rsid w:val="004A1C6E"/>
    <w:rsid w:val="004B770E"/>
    <w:rsid w:val="004D2FD2"/>
    <w:rsid w:val="004F6A3C"/>
    <w:rsid w:val="005065C3"/>
    <w:rsid w:val="00515BB9"/>
    <w:rsid w:val="00525AA8"/>
    <w:rsid w:val="005343B6"/>
    <w:rsid w:val="00540AD1"/>
    <w:rsid w:val="00541F27"/>
    <w:rsid w:val="00542686"/>
    <w:rsid w:val="005522B7"/>
    <w:rsid w:val="00553C04"/>
    <w:rsid w:val="0057569C"/>
    <w:rsid w:val="0057716F"/>
    <w:rsid w:val="00577FD5"/>
    <w:rsid w:val="00580B2A"/>
    <w:rsid w:val="00584DA6"/>
    <w:rsid w:val="00586B59"/>
    <w:rsid w:val="005A1216"/>
    <w:rsid w:val="005B6C90"/>
    <w:rsid w:val="005C340A"/>
    <w:rsid w:val="005C6F07"/>
    <w:rsid w:val="005D0870"/>
    <w:rsid w:val="005D3F14"/>
    <w:rsid w:val="005D6917"/>
    <w:rsid w:val="005E6898"/>
    <w:rsid w:val="005F5F08"/>
    <w:rsid w:val="006075EA"/>
    <w:rsid w:val="00615090"/>
    <w:rsid w:val="00623386"/>
    <w:rsid w:val="00630653"/>
    <w:rsid w:val="00641CFD"/>
    <w:rsid w:val="00657159"/>
    <w:rsid w:val="00657F5E"/>
    <w:rsid w:val="0066497A"/>
    <w:rsid w:val="0066633F"/>
    <w:rsid w:val="006700FF"/>
    <w:rsid w:val="00675ABC"/>
    <w:rsid w:val="00694755"/>
    <w:rsid w:val="006957EC"/>
    <w:rsid w:val="006B760B"/>
    <w:rsid w:val="006C15A8"/>
    <w:rsid w:val="006C28D6"/>
    <w:rsid w:val="006C7029"/>
    <w:rsid w:val="006E5A6C"/>
    <w:rsid w:val="006F0705"/>
    <w:rsid w:val="006F285A"/>
    <w:rsid w:val="006F41EF"/>
    <w:rsid w:val="006F759B"/>
    <w:rsid w:val="007008F3"/>
    <w:rsid w:val="00713213"/>
    <w:rsid w:val="007138BD"/>
    <w:rsid w:val="007251D3"/>
    <w:rsid w:val="00736705"/>
    <w:rsid w:val="007435AF"/>
    <w:rsid w:val="00743BB0"/>
    <w:rsid w:val="00753BD0"/>
    <w:rsid w:val="00756365"/>
    <w:rsid w:val="007602C9"/>
    <w:rsid w:val="00763B16"/>
    <w:rsid w:val="00765436"/>
    <w:rsid w:val="00786884"/>
    <w:rsid w:val="00795C80"/>
    <w:rsid w:val="007A4E8B"/>
    <w:rsid w:val="007C18F6"/>
    <w:rsid w:val="007E5F3F"/>
    <w:rsid w:val="007E7500"/>
    <w:rsid w:val="007F4E86"/>
    <w:rsid w:val="00803B93"/>
    <w:rsid w:val="008048F6"/>
    <w:rsid w:val="00810FDC"/>
    <w:rsid w:val="00821ABC"/>
    <w:rsid w:val="00824487"/>
    <w:rsid w:val="00826B66"/>
    <w:rsid w:val="00845FE5"/>
    <w:rsid w:val="00860FA9"/>
    <w:rsid w:val="00865025"/>
    <w:rsid w:val="00865FB2"/>
    <w:rsid w:val="00866F3D"/>
    <w:rsid w:val="008A71DE"/>
    <w:rsid w:val="008B379A"/>
    <w:rsid w:val="008B77A0"/>
    <w:rsid w:val="008C30B5"/>
    <w:rsid w:val="008C5572"/>
    <w:rsid w:val="008D7FE9"/>
    <w:rsid w:val="008E451E"/>
    <w:rsid w:val="008F528D"/>
    <w:rsid w:val="00901BD2"/>
    <w:rsid w:val="009155BE"/>
    <w:rsid w:val="00935E0A"/>
    <w:rsid w:val="00946202"/>
    <w:rsid w:val="00964176"/>
    <w:rsid w:val="00991635"/>
    <w:rsid w:val="009A3BDE"/>
    <w:rsid w:val="009C64D7"/>
    <w:rsid w:val="009C6EE4"/>
    <w:rsid w:val="009D6746"/>
    <w:rsid w:val="00A01CA0"/>
    <w:rsid w:val="00A01DF9"/>
    <w:rsid w:val="00A01F58"/>
    <w:rsid w:val="00A148FC"/>
    <w:rsid w:val="00A14C01"/>
    <w:rsid w:val="00A45472"/>
    <w:rsid w:val="00A61CBE"/>
    <w:rsid w:val="00A93E6B"/>
    <w:rsid w:val="00A96A26"/>
    <w:rsid w:val="00AA3BB7"/>
    <w:rsid w:val="00AA3D7F"/>
    <w:rsid w:val="00AA3F2C"/>
    <w:rsid w:val="00AA5731"/>
    <w:rsid w:val="00AA77DF"/>
    <w:rsid w:val="00AD65E9"/>
    <w:rsid w:val="00AE006A"/>
    <w:rsid w:val="00AF180F"/>
    <w:rsid w:val="00B03A1A"/>
    <w:rsid w:val="00B05425"/>
    <w:rsid w:val="00B06A8C"/>
    <w:rsid w:val="00B20CD5"/>
    <w:rsid w:val="00B5070E"/>
    <w:rsid w:val="00B66971"/>
    <w:rsid w:val="00B80E61"/>
    <w:rsid w:val="00B9431E"/>
    <w:rsid w:val="00BA49F8"/>
    <w:rsid w:val="00BC78C8"/>
    <w:rsid w:val="00BD68D6"/>
    <w:rsid w:val="00BE2581"/>
    <w:rsid w:val="00BE7FF5"/>
    <w:rsid w:val="00C0574E"/>
    <w:rsid w:val="00C10352"/>
    <w:rsid w:val="00C12821"/>
    <w:rsid w:val="00C15EAC"/>
    <w:rsid w:val="00C20DB5"/>
    <w:rsid w:val="00C3681B"/>
    <w:rsid w:val="00C36BAC"/>
    <w:rsid w:val="00C37158"/>
    <w:rsid w:val="00C410CE"/>
    <w:rsid w:val="00C478F4"/>
    <w:rsid w:val="00C517BE"/>
    <w:rsid w:val="00C56557"/>
    <w:rsid w:val="00C56C58"/>
    <w:rsid w:val="00C60DFC"/>
    <w:rsid w:val="00C753C3"/>
    <w:rsid w:val="00C9466B"/>
    <w:rsid w:val="00CA27E0"/>
    <w:rsid w:val="00CA6776"/>
    <w:rsid w:val="00CA6AB0"/>
    <w:rsid w:val="00CA734F"/>
    <w:rsid w:val="00CB4852"/>
    <w:rsid w:val="00CB58E8"/>
    <w:rsid w:val="00CD62D6"/>
    <w:rsid w:val="00CD7E92"/>
    <w:rsid w:val="00D02F2F"/>
    <w:rsid w:val="00D16253"/>
    <w:rsid w:val="00D468C2"/>
    <w:rsid w:val="00D46920"/>
    <w:rsid w:val="00D477E7"/>
    <w:rsid w:val="00D82E06"/>
    <w:rsid w:val="00DA6F98"/>
    <w:rsid w:val="00DD2B28"/>
    <w:rsid w:val="00DE0B6E"/>
    <w:rsid w:val="00DF1110"/>
    <w:rsid w:val="00E02124"/>
    <w:rsid w:val="00E04E98"/>
    <w:rsid w:val="00E0670D"/>
    <w:rsid w:val="00E2135B"/>
    <w:rsid w:val="00E22071"/>
    <w:rsid w:val="00E434CE"/>
    <w:rsid w:val="00E73820"/>
    <w:rsid w:val="00E75703"/>
    <w:rsid w:val="00E75DEF"/>
    <w:rsid w:val="00E95352"/>
    <w:rsid w:val="00EA6785"/>
    <w:rsid w:val="00ED2A3C"/>
    <w:rsid w:val="00ED3FBD"/>
    <w:rsid w:val="00EF15CD"/>
    <w:rsid w:val="00EF2C7E"/>
    <w:rsid w:val="00F22D1D"/>
    <w:rsid w:val="00F265DC"/>
    <w:rsid w:val="00F32D47"/>
    <w:rsid w:val="00F42447"/>
    <w:rsid w:val="00F5719D"/>
    <w:rsid w:val="00F66D95"/>
    <w:rsid w:val="00F6700F"/>
    <w:rsid w:val="00F744FD"/>
    <w:rsid w:val="00F82E8F"/>
    <w:rsid w:val="00F9690A"/>
    <w:rsid w:val="00FA0C46"/>
    <w:rsid w:val="00FA351E"/>
    <w:rsid w:val="00FA7C37"/>
    <w:rsid w:val="00FB614E"/>
    <w:rsid w:val="00FC7AC5"/>
    <w:rsid w:val="00FD4A38"/>
    <w:rsid w:val="00FD4AF0"/>
    <w:rsid w:val="00FF0927"/>
    <w:rsid w:val="00FF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16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1CBE"/>
    <w:rPr>
      <w:rFonts w:ascii="Georgia" w:hAnsi="Georgia"/>
      <w:lang w:val="en-GB"/>
    </w:rPr>
  </w:style>
  <w:style w:type="paragraph" w:styleId="Heading1">
    <w:name w:val="heading 1"/>
    <w:basedOn w:val="Normal"/>
    <w:next w:val="Normal"/>
    <w:link w:val="Heading1Char"/>
    <w:uiPriority w:val="9"/>
    <w:qFormat/>
    <w:rsid w:val="00675ABC"/>
    <w:pPr>
      <w:keepNext/>
      <w:keepLines/>
      <w:spacing w:before="240"/>
      <w:outlineLvl w:val="0"/>
    </w:pPr>
    <w:rPr>
      <w:rFonts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62338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5ABC"/>
    <w:pPr>
      <w:contextualSpacing/>
    </w:pPr>
    <w:rPr>
      <w:rFonts w:eastAsiaTheme="majorEastAsia" w:cstheme="majorBidi"/>
      <w:b/>
      <w:bCs/>
      <w:spacing w:val="-10"/>
      <w:kern w:val="28"/>
      <w:sz w:val="32"/>
      <w:szCs w:val="56"/>
    </w:rPr>
  </w:style>
  <w:style w:type="character" w:customStyle="1" w:styleId="TitleChar">
    <w:name w:val="Title Char"/>
    <w:basedOn w:val="DefaultParagraphFont"/>
    <w:link w:val="Title"/>
    <w:uiPriority w:val="10"/>
    <w:rsid w:val="00675ABC"/>
    <w:rPr>
      <w:rFonts w:ascii="Georgia" w:eastAsiaTheme="majorEastAsia" w:hAnsi="Georgia" w:cstheme="majorBidi"/>
      <w:b/>
      <w:bCs/>
      <w:spacing w:val="-10"/>
      <w:kern w:val="28"/>
      <w:sz w:val="32"/>
      <w:szCs w:val="56"/>
      <w:lang w:val="en-GB"/>
    </w:rPr>
  </w:style>
  <w:style w:type="character" w:customStyle="1" w:styleId="Heading1Char">
    <w:name w:val="Heading 1 Char"/>
    <w:basedOn w:val="DefaultParagraphFont"/>
    <w:link w:val="Heading1"/>
    <w:uiPriority w:val="9"/>
    <w:rsid w:val="00675ABC"/>
    <w:rPr>
      <w:rFonts w:ascii="Georgia" w:eastAsiaTheme="majorEastAsia" w:hAnsi="Georgia" w:cstheme="majorBidi"/>
      <w:b/>
      <w:bCs/>
      <w:color w:val="000000" w:themeColor="text1"/>
      <w:sz w:val="28"/>
      <w:szCs w:val="32"/>
      <w:lang w:val="en-GB"/>
    </w:rPr>
  </w:style>
  <w:style w:type="character" w:customStyle="1" w:styleId="Heading2Char">
    <w:name w:val="Heading 2 Char"/>
    <w:basedOn w:val="DefaultParagraphFont"/>
    <w:link w:val="Heading2"/>
    <w:uiPriority w:val="9"/>
    <w:rsid w:val="00623386"/>
    <w:rPr>
      <w:rFonts w:ascii="Georgia" w:eastAsiaTheme="majorEastAsia" w:hAnsi="Georgia" w:cstheme="majorBidi"/>
      <w:b/>
      <w:color w:val="000000" w:themeColor="text1"/>
      <w:szCs w:val="26"/>
    </w:rPr>
  </w:style>
  <w:style w:type="paragraph" w:styleId="ListParagraph">
    <w:name w:val="List Paragraph"/>
    <w:basedOn w:val="Normal"/>
    <w:uiPriority w:val="34"/>
    <w:qFormat/>
    <w:rsid w:val="005D0870"/>
    <w:pPr>
      <w:ind w:left="720"/>
      <w:contextualSpacing/>
    </w:pPr>
  </w:style>
  <w:style w:type="table" w:styleId="TableGrid">
    <w:name w:val="Table Grid"/>
    <w:basedOn w:val="TableNormal"/>
    <w:uiPriority w:val="39"/>
    <w:rsid w:val="00657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32D47"/>
  </w:style>
  <w:style w:type="character" w:customStyle="1" w:styleId="FootnoteTextChar">
    <w:name w:val="Footnote Text Char"/>
    <w:basedOn w:val="DefaultParagraphFont"/>
    <w:link w:val="FootnoteText"/>
    <w:uiPriority w:val="99"/>
    <w:rsid w:val="00F32D47"/>
    <w:rPr>
      <w:rFonts w:ascii="Georgia" w:hAnsi="Georgia"/>
      <w:lang w:val="en-GB"/>
    </w:rPr>
  </w:style>
  <w:style w:type="character" w:styleId="FootnoteReference">
    <w:name w:val="footnote reference"/>
    <w:basedOn w:val="DefaultParagraphFont"/>
    <w:uiPriority w:val="99"/>
    <w:unhideWhenUsed/>
    <w:rsid w:val="00F32D47"/>
    <w:rPr>
      <w:vertAlign w:val="superscript"/>
    </w:rPr>
  </w:style>
  <w:style w:type="character" w:styleId="Hyperlink">
    <w:name w:val="Hyperlink"/>
    <w:basedOn w:val="DefaultParagraphFont"/>
    <w:uiPriority w:val="99"/>
    <w:unhideWhenUsed/>
    <w:rsid w:val="00F32D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776">
      <w:bodyDiv w:val="1"/>
      <w:marLeft w:val="0"/>
      <w:marRight w:val="0"/>
      <w:marTop w:val="0"/>
      <w:marBottom w:val="0"/>
      <w:divBdr>
        <w:top w:val="none" w:sz="0" w:space="0" w:color="auto"/>
        <w:left w:val="none" w:sz="0" w:space="0" w:color="auto"/>
        <w:bottom w:val="none" w:sz="0" w:space="0" w:color="auto"/>
        <w:right w:val="none" w:sz="0" w:space="0" w:color="auto"/>
      </w:divBdr>
    </w:div>
    <w:div w:id="321617776">
      <w:bodyDiv w:val="1"/>
      <w:marLeft w:val="0"/>
      <w:marRight w:val="0"/>
      <w:marTop w:val="0"/>
      <w:marBottom w:val="0"/>
      <w:divBdr>
        <w:top w:val="none" w:sz="0" w:space="0" w:color="auto"/>
        <w:left w:val="none" w:sz="0" w:space="0" w:color="auto"/>
        <w:bottom w:val="none" w:sz="0" w:space="0" w:color="auto"/>
        <w:right w:val="none" w:sz="0" w:space="0" w:color="auto"/>
      </w:divBdr>
    </w:div>
    <w:div w:id="571505722">
      <w:bodyDiv w:val="1"/>
      <w:marLeft w:val="0"/>
      <w:marRight w:val="0"/>
      <w:marTop w:val="0"/>
      <w:marBottom w:val="0"/>
      <w:divBdr>
        <w:top w:val="none" w:sz="0" w:space="0" w:color="auto"/>
        <w:left w:val="none" w:sz="0" w:space="0" w:color="auto"/>
        <w:bottom w:val="none" w:sz="0" w:space="0" w:color="auto"/>
        <w:right w:val="none" w:sz="0" w:space="0" w:color="auto"/>
      </w:divBdr>
    </w:div>
    <w:div w:id="606426302">
      <w:bodyDiv w:val="1"/>
      <w:marLeft w:val="0"/>
      <w:marRight w:val="0"/>
      <w:marTop w:val="0"/>
      <w:marBottom w:val="0"/>
      <w:divBdr>
        <w:top w:val="none" w:sz="0" w:space="0" w:color="auto"/>
        <w:left w:val="none" w:sz="0" w:space="0" w:color="auto"/>
        <w:bottom w:val="none" w:sz="0" w:space="0" w:color="auto"/>
        <w:right w:val="none" w:sz="0" w:space="0" w:color="auto"/>
      </w:divBdr>
    </w:div>
    <w:div w:id="762460065">
      <w:bodyDiv w:val="1"/>
      <w:marLeft w:val="0"/>
      <w:marRight w:val="0"/>
      <w:marTop w:val="0"/>
      <w:marBottom w:val="0"/>
      <w:divBdr>
        <w:top w:val="none" w:sz="0" w:space="0" w:color="auto"/>
        <w:left w:val="none" w:sz="0" w:space="0" w:color="auto"/>
        <w:bottom w:val="none" w:sz="0" w:space="0" w:color="auto"/>
        <w:right w:val="none" w:sz="0" w:space="0" w:color="auto"/>
      </w:divBdr>
    </w:div>
    <w:div w:id="871260945">
      <w:bodyDiv w:val="1"/>
      <w:marLeft w:val="0"/>
      <w:marRight w:val="0"/>
      <w:marTop w:val="0"/>
      <w:marBottom w:val="0"/>
      <w:divBdr>
        <w:top w:val="none" w:sz="0" w:space="0" w:color="auto"/>
        <w:left w:val="none" w:sz="0" w:space="0" w:color="auto"/>
        <w:bottom w:val="none" w:sz="0" w:space="0" w:color="auto"/>
        <w:right w:val="none" w:sz="0" w:space="0" w:color="auto"/>
      </w:divBdr>
    </w:div>
    <w:div w:id="1018041672">
      <w:bodyDiv w:val="1"/>
      <w:marLeft w:val="0"/>
      <w:marRight w:val="0"/>
      <w:marTop w:val="0"/>
      <w:marBottom w:val="0"/>
      <w:divBdr>
        <w:top w:val="none" w:sz="0" w:space="0" w:color="auto"/>
        <w:left w:val="none" w:sz="0" w:space="0" w:color="auto"/>
        <w:bottom w:val="none" w:sz="0" w:space="0" w:color="auto"/>
        <w:right w:val="none" w:sz="0" w:space="0" w:color="auto"/>
      </w:divBdr>
    </w:div>
    <w:div w:id="1034961315">
      <w:bodyDiv w:val="1"/>
      <w:marLeft w:val="0"/>
      <w:marRight w:val="0"/>
      <w:marTop w:val="0"/>
      <w:marBottom w:val="0"/>
      <w:divBdr>
        <w:top w:val="none" w:sz="0" w:space="0" w:color="auto"/>
        <w:left w:val="none" w:sz="0" w:space="0" w:color="auto"/>
        <w:bottom w:val="none" w:sz="0" w:space="0" w:color="auto"/>
        <w:right w:val="none" w:sz="0" w:space="0" w:color="auto"/>
      </w:divBdr>
    </w:div>
    <w:div w:id="1151945045">
      <w:bodyDiv w:val="1"/>
      <w:marLeft w:val="0"/>
      <w:marRight w:val="0"/>
      <w:marTop w:val="0"/>
      <w:marBottom w:val="0"/>
      <w:divBdr>
        <w:top w:val="none" w:sz="0" w:space="0" w:color="auto"/>
        <w:left w:val="none" w:sz="0" w:space="0" w:color="auto"/>
        <w:bottom w:val="none" w:sz="0" w:space="0" w:color="auto"/>
        <w:right w:val="none" w:sz="0" w:space="0" w:color="auto"/>
      </w:divBdr>
    </w:div>
    <w:div w:id="1166365693">
      <w:bodyDiv w:val="1"/>
      <w:marLeft w:val="0"/>
      <w:marRight w:val="0"/>
      <w:marTop w:val="0"/>
      <w:marBottom w:val="0"/>
      <w:divBdr>
        <w:top w:val="none" w:sz="0" w:space="0" w:color="auto"/>
        <w:left w:val="none" w:sz="0" w:space="0" w:color="auto"/>
        <w:bottom w:val="none" w:sz="0" w:space="0" w:color="auto"/>
        <w:right w:val="none" w:sz="0" w:space="0" w:color="auto"/>
      </w:divBdr>
    </w:div>
    <w:div w:id="1419056647">
      <w:bodyDiv w:val="1"/>
      <w:marLeft w:val="0"/>
      <w:marRight w:val="0"/>
      <w:marTop w:val="0"/>
      <w:marBottom w:val="0"/>
      <w:divBdr>
        <w:top w:val="none" w:sz="0" w:space="0" w:color="auto"/>
        <w:left w:val="none" w:sz="0" w:space="0" w:color="auto"/>
        <w:bottom w:val="none" w:sz="0" w:space="0" w:color="auto"/>
        <w:right w:val="none" w:sz="0" w:space="0" w:color="auto"/>
      </w:divBdr>
    </w:div>
    <w:div w:id="1589148012">
      <w:bodyDiv w:val="1"/>
      <w:marLeft w:val="0"/>
      <w:marRight w:val="0"/>
      <w:marTop w:val="0"/>
      <w:marBottom w:val="0"/>
      <w:divBdr>
        <w:top w:val="none" w:sz="0" w:space="0" w:color="auto"/>
        <w:left w:val="none" w:sz="0" w:space="0" w:color="auto"/>
        <w:bottom w:val="none" w:sz="0" w:space="0" w:color="auto"/>
        <w:right w:val="none" w:sz="0" w:space="0" w:color="auto"/>
      </w:divBdr>
    </w:div>
    <w:div w:id="1631129580">
      <w:bodyDiv w:val="1"/>
      <w:marLeft w:val="0"/>
      <w:marRight w:val="0"/>
      <w:marTop w:val="0"/>
      <w:marBottom w:val="0"/>
      <w:divBdr>
        <w:top w:val="none" w:sz="0" w:space="0" w:color="auto"/>
        <w:left w:val="none" w:sz="0" w:space="0" w:color="auto"/>
        <w:bottom w:val="none" w:sz="0" w:space="0" w:color="auto"/>
        <w:right w:val="none" w:sz="0" w:space="0" w:color="auto"/>
      </w:divBdr>
    </w:div>
    <w:div w:id="1669675155">
      <w:bodyDiv w:val="1"/>
      <w:marLeft w:val="0"/>
      <w:marRight w:val="0"/>
      <w:marTop w:val="0"/>
      <w:marBottom w:val="0"/>
      <w:divBdr>
        <w:top w:val="none" w:sz="0" w:space="0" w:color="auto"/>
        <w:left w:val="none" w:sz="0" w:space="0" w:color="auto"/>
        <w:bottom w:val="none" w:sz="0" w:space="0" w:color="auto"/>
        <w:right w:val="none" w:sz="0" w:space="0" w:color="auto"/>
      </w:divBdr>
    </w:div>
    <w:div w:id="1783721926">
      <w:bodyDiv w:val="1"/>
      <w:marLeft w:val="0"/>
      <w:marRight w:val="0"/>
      <w:marTop w:val="0"/>
      <w:marBottom w:val="0"/>
      <w:divBdr>
        <w:top w:val="none" w:sz="0" w:space="0" w:color="auto"/>
        <w:left w:val="none" w:sz="0" w:space="0" w:color="auto"/>
        <w:bottom w:val="none" w:sz="0" w:space="0" w:color="auto"/>
        <w:right w:val="none" w:sz="0" w:space="0" w:color="auto"/>
      </w:divBdr>
    </w:div>
    <w:div w:id="1825046843">
      <w:bodyDiv w:val="1"/>
      <w:marLeft w:val="0"/>
      <w:marRight w:val="0"/>
      <w:marTop w:val="0"/>
      <w:marBottom w:val="0"/>
      <w:divBdr>
        <w:top w:val="none" w:sz="0" w:space="0" w:color="auto"/>
        <w:left w:val="none" w:sz="0" w:space="0" w:color="auto"/>
        <w:bottom w:val="none" w:sz="0" w:space="0" w:color="auto"/>
        <w:right w:val="none" w:sz="0" w:space="0" w:color="auto"/>
      </w:divBdr>
    </w:div>
    <w:div w:id="1924876941">
      <w:bodyDiv w:val="1"/>
      <w:marLeft w:val="0"/>
      <w:marRight w:val="0"/>
      <w:marTop w:val="0"/>
      <w:marBottom w:val="0"/>
      <w:divBdr>
        <w:top w:val="none" w:sz="0" w:space="0" w:color="auto"/>
        <w:left w:val="none" w:sz="0" w:space="0" w:color="auto"/>
        <w:bottom w:val="none" w:sz="0" w:space="0" w:color="auto"/>
        <w:right w:val="none" w:sz="0" w:space="0" w:color="auto"/>
      </w:divBdr>
    </w:div>
    <w:div w:id="19463822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odcamp.org.u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medium.com/the-many/moving-from-data-science-to-data-literacy-a2f181ba4167" TargetMode="External"/><Relationship Id="rId10" Type="http://schemas.openxmlformats.org/officeDocument/2006/relationships/hyperlink" Target="http://schoolofdata.org/2016/01/08/research-results-part-1-defining-data-literac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hoolofdata.org/2016/02/11/research-results-part-6-data-literacy-research-references-and-resources/" TargetMode="External"/><Relationship Id="rId2" Type="http://schemas.openxmlformats.org/officeDocument/2006/relationships/hyperlink" Target="https://en.m.wikipedia.org/wiki/Pdftotext" TargetMode="External"/><Relationship Id="rId3" Type="http://schemas.openxmlformats.org/officeDocument/2006/relationships/hyperlink" Target="https://github.com/paulusm/datalit-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DDF23F-DB35-E042-A8C8-50E50EBC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3832</Words>
  <Characters>21843</Characters>
  <Application>Microsoft Macintosh Word</Application>
  <DocSecurity>0</DocSecurity>
  <Lines>182</Lines>
  <Paragraphs>51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Introduction</vt:lpstr>
      <vt:lpstr>A central skills framework</vt:lpstr>
      <vt:lpstr>Starting point Koltay (Koltay, 2015): Competencies connected to consumption are </vt:lpstr>
      <vt:lpstr>Four conceptual varieties</vt:lpstr>
      <vt:lpstr>    A research focus</vt:lpstr>
      <vt:lpstr>    A classroom focus</vt:lpstr>
      <vt:lpstr>    A “carpentry” focus</vt:lpstr>
      <vt:lpstr>    An inclusion focus</vt:lpstr>
      <vt:lpstr>A Capabilities Conception </vt:lpstr>
      <vt:lpstr>    </vt:lpstr>
      <vt:lpstr>Conclusion</vt:lpstr>
      <vt:lpstr>Acknowledgements</vt:lpstr>
      <vt:lpstr/>
      <vt:lpstr>References</vt:lpstr>
    </vt:vector>
  </TitlesOfParts>
  <Manager/>
  <Company/>
  <LinksUpToDate>false</LinksUpToDate>
  <CharactersWithSpaces>25624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Matthews</dc:creator>
  <cp:keywords/>
  <dc:description/>
  <cp:lastModifiedBy>Paul Matthews</cp:lastModifiedBy>
  <cp:revision>1</cp:revision>
  <dcterms:created xsi:type="dcterms:W3CDTF">2016-09-24T15:34:00Z</dcterms:created>
  <dcterms:modified xsi:type="dcterms:W3CDTF">2016-09-24T15:34:00Z</dcterms:modified>
  <cp:category/>
</cp:coreProperties>
</file>